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71AE9" w14:textId="4028BD2C" w:rsidR="00B15066" w:rsidRPr="00B15066" w:rsidRDefault="005842E4" w:rsidP="008A067E">
      <w:pPr>
        <w:bidi/>
        <w:spacing w:after="0" w:line="360" w:lineRule="auto"/>
        <w:jc w:val="center"/>
        <w:rPr>
          <w:rFonts w:ascii="Times New Roman" w:hAnsi="Times New Roman" w:cs="Times New Roman"/>
          <w:b/>
          <w:bCs/>
          <w:sz w:val="24"/>
          <w:szCs w:val="24"/>
        </w:rPr>
      </w:pPr>
      <w:bookmarkStart w:id="0" w:name="_GoBack"/>
      <w:r w:rsidRPr="00B15066">
        <w:rPr>
          <w:rFonts w:ascii="Times New Roman" w:hAnsi="Times New Roman" w:cs="Times New Roman"/>
          <w:b/>
          <w:bCs/>
          <w:sz w:val="24"/>
          <w:szCs w:val="24"/>
        </w:rPr>
        <w:t>Staffing Plan for Respiratory Therapists in Saudi Arabia</w:t>
      </w:r>
    </w:p>
    <w:bookmarkEnd w:id="0"/>
    <w:p w14:paraId="67963D9F" w14:textId="77777777" w:rsidR="00B15066" w:rsidRDefault="00B15066" w:rsidP="006E34BB">
      <w:pPr>
        <w:bidi/>
        <w:spacing w:after="0" w:line="360" w:lineRule="auto"/>
        <w:jc w:val="both"/>
        <w:rPr>
          <w:rFonts w:ascii="Times New Roman" w:hAnsi="Times New Roman" w:cs="Times New Roman"/>
          <w:sz w:val="24"/>
          <w:szCs w:val="24"/>
        </w:rPr>
      </w:pPr>
    </w:p>
    <w:p w14:paraId="509CFA00" w14:textId="39901584" w:rsidR="0055083B" w:rsidRDefault="0055083B" w:rsidP="006E34BB">
      <w:pPr>
        <w:bidi/>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198CC797" w14:textId="49C377F0" w:rsidR="0055083B" w:rsidRDefault="005842E4" w:rsidP="008A067E">
      <w:pPr>
        <w:bidi/>
        <w:spacing w:after="0" w:line="360" w:lineRule="auto"/>
        <w:jc w:val="center"/>
        <w:rPr>
          <w:rFonts w:ascii="Times New Roman" w:hAnsi="Times New Roman" w:cs="Times New Roman"/>
          <w:sz w:val="24"/>
          <w:szCs w:val="24"/>
        </w:rPr>
      </w:pPr>
      <w:r>
        <w:rPr>
          <w:rFonts w:ascii="Times New Roman" w:hAnsi="Times New Roman" w:cs="Times New Roman"/>
          <w:sz w:val="24"/>
          <w:szCs w:val="24"/>
        </w:rPr>
        <w:t>Ahmad Alessa</w:t>
      </w:r>
      <w:r w:rsidR="0055083B">
        <w:rPr>
          <w:rFonts w:ascii="Times New Roman" w:hAnsi="Times New Roman" w:cs="Times New Roman"/>
          <w:sz w:val="24"/>
          <w:szCs w:val="24"/>
        </w:rPr>
        <w:t xml:space="preserve">, </w:t>
      </w:r>
      <w:r>
        <w:rPr>
          <w:rFonts w:ascii="Times New Roman" w:hAnsi="Times New Roman" w:cs="Times New Roman"/>
          <w:sz w:val="24"/>
          <w:szCs w:val="24"/>
        </w:rPr>
        <w:t>Respiratory Therapy Administration</w:t>
      </w:r>
      <w:r w:rsidR="0055083B">
        <w:rPr>
          <w:rFonts w:ascii="Times New Roman" w:hAnsi="Times New Roman" w:cs="Times New Roman"/>
          <w:sz w:val="24"/>
          <w:szCs w:val="24"/>
        </w:rPr>
        <w:t xml:space="preserve">, </w:t>
      </w:r>
      <w:r>
        <w:rPr>
          <w:rFonts w:ascii="Times New Roman" w:hAnsi="Times New Roman" w:cs="Times New Roman"/>
          <w:sz w:val="24"/>
          <w:szCs w:val="24"/>
        </w:rPr>
        <w:t>King Abdullah Medical City</w:t>
      </w:r>
      <w:r w:rsidR="0055083B">
        <w:rPr>
          <w:rFonts w:ascii="Times New Roman" w:hAnsi="Times New Roman" w:cs="Times New Roman"/>
          <w:sz w:val="24"/>
          <w:szCs w:val="24"/>
        </w:rPr>
        <w:t>,</w:t>
      </w:r>
      <w:r w:rsidR="00B15066" w:rsidRPr="00B15066">
        <w:t xml:space="preserve"> </w:t>
      </w:r>
      <w:r w:rsidR="00B15066" w:rsidRPr="00B15066">
        <w:rPr>
          <w:rFonts w:ascii="Times New Roman" w:hAnsi="Times New Roman" w:cs="Times New Roman"/>
          <w:sz w:val="24"/>
          <w:szCs w:val="24"/>
        </w:rPr>
        <w:t>Saudi Arabia</w:t>
      </w:r>
      <w:r w:rsidR="00B15066">
        <w:rPr>
          <w:rFonts w:ascii="Times New Roman" w:hAnsi="Times New Roman" w:cs="Times New Roman"/>
          <w:sz w:val="24"/>
          <w:szCs w:val="24"/>
        </w:rPr>
        <w:t xml:space="preserve">, </w:t>
      </w:r>
      <w:hyperlink r:id="rId7" w:history="1">
        <w:r w:rsidR="00B15066" w:rsidRPr="0004583C">
          <w:rPr>
            <w:rStyle w:val="Hyperlink"/>
            <w:rFonts w:ascii="Times New Roman" w:hAnsi="Times New Roman" w:cs="Times New Roman"/>
            <w:sz w:val="24"/>
            <w:szCs w:val="24"/>
          </w:rPr>
          <w:t>Alessarrt@gmail.com</w:t>
        </w:r>
      </w:hyperlink>
    </w:p>
    <w:p w14:paraId="5500ACA5" w14:textId="77777777" w:rsidR="00B15066" w:rsidRPr="00B15066" w:rsidRDefault="00B15066" w:rsidP="006E34BB">
      <w:pPr>
        <w:bidi/>
        <w:spacing w:after="0" w:line="360" w:lineRule="auto"/>
        <w:jc w:val="both"/>
        <w:rPr>
          <w:rFonts w:ascii="Times New Roman" w:hAnsi="Times New Roman" w:cs="Times New Roman"/>
          <w:sz w:val="24"/>
          <w:szCs w:val="24"/>
        </w:rPr>
      </w:pPr>
    </w:p>
    <w:p w14:paraId="69237865" w14:textId="77777777" w:rsidR="005842E4" w:rsidRDefault="005842E4" w:rsidP="006E34BB">
      <w:pPr>
        <w:spacing w:after="0" w:line="360" w:lineRule="auto"/>
        <w:jc w:val="both"/>
        <w:rPr>
          <w:rFonts w:ascii="Times New Roman" w:hAnsi="Times New Roman" w:cs="Times New Roman"/>
          <w:sz w:val="24"/>
          <w:szCs w:val="24"/>
        </w:rPr>
      </w:pPr>
    </w:p>
    <w:p w14:paraId="3DD4CE0D" w14:textId="6E0A8392" w:rsidR="005842E4" w:rsidRPr="00B15066" w:rsidRDefault="005842E4" w:rsidP="008A067E">
      <w:pPr>
        <w:spacing w:after="0" w:line="360" w:lineRule="auto"/>
        <w:jc w:val="center"/>
        <w:rPr>
          <w:rFonts w:ascii="Times New Roman" w:hAnsi="Times New Roman" w:cs="Times New Roman"/>
          <w:b/>
          <w:bCs/>
          <w:sz w:val="24"/>
          <w:szCs w:val="24"/>
        </w:rPr>
      </w:pPr>
      <w:r w:rsidRPr="00B15066">
        <w:rPr>
          <w:rFonts w:ascii="Times New Roman" w:hAnsi="Times New Roman" w:cs="Times New Roman"/>
          <w:b/>
          <w:bCs/>
          <w:sz w:val="24"/>
          <w:szCs w:val="24"/>
        </w:rPr>
        <w:t>Abstract</w:t>
      </w:r>
    </w:p>
    <w:p w14:paraId="7AC2ADD2" w14:textId="0ED1CEB4" w:rsidR="005842E4" w:rsidRPr="00D7642F" w:rsidRDefault="005842E4" w:rsidP="008A067E">
      <w:pPr>
        <w:spacing w:after="0" w:line="360" w:lineRule="auto"/>
        <w:jc w:val="both"/>
        <w:rPr>
          <w:rFonts w:ascii="Times New Roman" w:hAnsi="Times New Roman" w:cs="Times New Roman"/>
          <w:color w:val="FF0000"/>
          <w:sz w:val="24"/>
          <w:szCs w:val="24"/>
        </w:rPr>
      </w:pPr>
      <w:r w:rsidRPr="00D7642F">
        <w:rPr>
          <w:rFonts w:ascii="Times New Roman" w:hAnsi="Times New Roman" w:cs="Times New Roman"/>
          <w:b/>
          <w:bCs/>
          <w:sz w:val="24"/>
          <w:szCs w:val="24"/>
        </w:rPr>
        <w:t>BACKGROUND:</w:t>
      </w:r>
      <w:r w:rsidRPr="00D7642F">
        <w:rPr>
          <w:rFonts w:ascii="Times New Roman" w:hAnsi="Times New Roman" w:cs="Times New Roman"/>
          <w:sz w:val="24"/>
          <w:szCs w:val="24"/>
        </w:rPr>
        <w:t xml:space="preserve"> The Kingdom of Saudi Arabia experiences a shortage of respiratory therapists in its health care sectors, which affects the quality of respiratory care provided in the hospitals. The hospitals in KSA are owned and managed by the Ministry of Health, other government agencies (hospitals operated by the military, Saudi Arabian National Guard, Saudi Arabian Ministry of Defense and Aviation, Ministry of Interior, and Referral Hospitals) and privately-owned for-profit hospitals. A study conducted by Alotaibi</w:t>
      </w:r>
      <w:r w:rsidRPr="00D7642F">
        <w:rPr>
          <w:rStyle w:val="EndnoteReference"/>
          <w:rFonts w:ascii="Times New Roman" w:hAnsi="Times New Roman" w:cs="Times New Roman"/>
          <w:sz w:val="24"/>
          <w:szCs w:val="24"/>
        </w:rPr>
        <w:endnoteReference w:id="1"/>
      </w:r>
      <w:r w:rsidRPr="00D7642F">
        <w:rPr>
          <w:rFonts w:ascii="Times New Roman" w:hAnsi="Times New Roman" w:cs="Times New Roman"/>
          <w:sz w:val="24"/>
          <w:szCs w:val="24"/>
        </w:rPr>
        <w:t xml:space="preserve"> in 2015 indicates the respiratory therapist to patient ratio overall in KSA is 1:11, with the ratio spread between MOH hospitals (1:20) and non-MOH hospitals (1:9). In the estimation of RTs needed in KSA, this study proposes to apply a ratio of 1:20 for the general floor, which was applied in the staffing of RTs in the study of RTs staffing in KSA by Alotaibi in 2015. For all the ICU beds in MOH, non-MOH, and private facilities, the RTs to bed ratio will be applied according to the international recommendation of 1:5. In the model that estimates the number of RTs needed in KSA, the study applies 1:5 in all the ICUs (MOH, non-MOH, and private hospitals) and 1:20 used on the general floor. </w:t>
      </w:r>
    </w:p>
    <w:p w14:paraId="40B062DE" w14:textId="21F38065" w:rsidR="005842E4" w:rsidRPr="00D7642F" w:rsidRDefault="005842E4" w:rsidP="008A067E">
      <w:pPr>
        <w:spacing w:after="0" w:line="360" w:lineRule="auto"/>
        <w:jc w:val="both"/>
        <w:rPr>
          <w:rFonts w:ascii="Times New Roman" w:hAnsi="Times New Roman" w:cs="Times New Roman"/>
          <w:sz w:val="24"/>
          <w:szCs w:val="24"/>
        </w:rPr>
      </w:pPr>
      <w:r w:rsidRPr="00D7642F">
        <w:rPr>
          <w:rFonts w:ascii="Times New Roman" w:hAnsi="Times New Roman" w:cs="Times New Roman"/>
          <w:b/>
          <w:bCs/>
          <w:sz w:val="24"/>
          <w:szCs w:val="24"/>
        </w:rPr>
        <w:t>OBJECTIVE:</w:t>
      </w:r>
      <w:r w:rsidRPr="00D7642F">
        <w:rPr>
          <w:rFonts w:ascii="Times New Roman" w:hAnsi="Times New Roman" w:cs="Times New Roman"/>
          <w:sz w:val="24"/>
          <w:szCs w:val="24"/>
        </w:rPr>
        <w:t xml:space="preserve"> The study aims to estimate the number of respiratory therapists that should be hired in KSA to meet the international optimum ratio of 1:5 RTs-to-patients in ICU and 1:20 in general floor. In addition to having more than half of the RTs from foreign countries, which contributes to workforce instability in Saudi Arabia, there is a need to train RTs and hire them in the nation's health care system to meet the internationally desired ratio of 1:5.</w:t>
      </w:r>
    </w:p>
    <w:p w14:paraId="49CDB185" w14:textId="77777777" w:rsidR="005842E4" w:rsidRPr="00D7642F" w:rsidRDefault="005842E4" w:rsidP="006E34BB">
      <w:pPr>
        <w:spacing w:after="0" w:line="360" w:lineRule="auto"/>
        <w:jc w:val="both"/>
        <w:rPr>
          <w:rFonts w:ascii="Times New Roman" w:hAnsi="Times New Roman" w:cs="Times New Roman"/>
          <w:sz w:val="24"/>
          <w:szCs w:val="24"/>
        </w:rPr>
      </w:pPr>
      <w:r w:rsidRPr="00D7642F">
        <w:rPr>
          <w:rFonts w:ascii="Times New Roman" w:hAnsi="Times New Roman" w:cs="Times New Roman"/>
          <w:b/>
          <w:bCs/>
          <w:sz w:val="24"/>
          <w:szCs w:val="24"/>
        </w:rPr>
        <w:t>METHODS:</w:t>
      </w:r>
      <w:r w:rsidRPr="00D7642F">
        <w:rPr>
          <w:rFonts w:ascii="Times New Roman" w:hAnsi="Times New Roman" w:cs="Times New Roman"/>
          <w:sz w:val="24"/>
          <w:szCs w:val="24"/>
        </w:rPr>
        <w:t xml:space="preserve"> The Telford staffing model has been used in determining the total number of RTs needed to satisfy the national demand in all hospitals across the country. Additionally, the regional population factor has been included in the model to facilitate equity in the distribution of RTs across the country and solve RTs concentration in the central region of KSA. The Telford model calculates the number of beds in the facilities by the different ratios, multiplies the number of days and hours of work (12 x 2 “24-hour shifts”), divided by 48 hours of work </w:t>
      </w:r>
      <w:r w:rsidRPr="00D7642F">
        <w:rPr>
          <w:rFonts w:ascii="Times New Roman" w:hAnsi="Times New Roman" w:cs="Times New Roman"/>
          <w:sz w:val="24"/>
          <w:szCs w:val="24"/>
        </w:rPr>
        <w:lastRenderedPageBreak/>
        <w:t>per week and added 23 percent of the obtained number to factor for the durations that some of the RTs might not be at the hospitals due to various reasons.</w:t>
      </w:r>
    </w:p>
    <w:p w14:paraId="7320111B" w14:textId="77777777" w:rsidR="005842E4" w:rsidRPr="00D7642F" w:rsidRDefault="005842E4" w:rsidP="006E34BB">
      <w:pPr>
        <w:spacing w:after="0" w:line="360" w:lineRule="auto"/>
        <w:jc w:val="both"/>
        <w:rPr>
          <w:rFonts w:ascii="Times New Roman" w:hAnsi="Times New Roman" w:cs="Times New Roman"/>
          <w:sz w:val="24"/>
          <w:szCs w:val="24"/>
        </w:rPr>
      </w:pPr>
      <w:r w:rsidRPr="00D7642F">
        <w:rPr>
          <w:rFonts w:ascii="Times New Roman" w:hAnsi="Times New Roman" w:cs="Times New Roman"/>
          <w:b/>
          <w:bCs/>
          <w:sz w:val="24"/>
          <w:szCs w:val="24"/>
        </w:rPr>
        <w:t xml:space="preserve">RESULTS: </w:t>
      </w:r>
      <w:r w:rsidRPr="00D7642F">
        <w:rPr>
          <w:rFonts w:ascii="Times New Roman" w:hAnsi="Times New Roman" w:cs="Times New Roman"/>
          <w:sz w:val="24"/>
          <w:szCs w:val="24"/>
        </w:rPr>
        <w:t>The developed Telford calculated the number of RTs needed in the general floor and ICU beds for the MOH, non-MOH, and private facilities determined the number of RTs, in total, required for all the 20 medical administrative regions provided in the MOH statistical yearbook. The findings show that Saudi Arabia needs a total of 21,666 that will work in the total of 75,225 beds (general floor and ICU) in the 494 hospitals (MOH, non-MOH, and private) in KSA.</w:t>
      </w:r>
    </w:p>
    <w:p w14:paraId="7E316E72" w14:textId="71497E0C" w:rsidR="005842E4" w:rsidRPr="00D7642F" w:rsidRDefault="005842E4" w:rsidP="006E34BB">
      <w:pPr>
        <w:spacing w:after="0" w:line="360" w:lineRule="auto"/>
        <w:jc w:val="both"/>
        <w:rPr>
          <w:rFonts w:ascii="Times New Roman" w:hAnsi="Times New Roman" w:cs="Times New Roman"/>
          <w:sz w:val="24"/>
          <w:szCs w:val="24"/>
        </w:rPr>
      </w:pPr>
      <w:r w:rsidRPr="00D7642F">
        <w:rPr>
          <w:rFonts w:ascii="Times New Roman" w:hAnsi="Times New Roman" w:cs="Times New Roman"/>
          <w:b/>
          <w:bCs/>
          <w:sz w:val="24"/>
          <w:szCs w:val="24"/>
        </w:rPr>
        <w:t xml:space="preserve">CONCLUSIONS: </w:t>
      </w:r>
      <w:r w:rsidRPr="00D7642F">
        <w:rPr>
          <w:rFonts w:ascii="Times New Roman" w:hAnsi="Times New Roman" w:cs="Times New Roman"/>
          <w:sz w:val="24"/>
          <w:szCs w:val="24"/>
        </w:rPr>
        <w:t xml:space="preserve">The number of RTs in Saudi Arabia depends on the ratios determined in the various hospitals, including the ICU and general floor beds. The findings show that there is need for more training of Saudi RTs because of the country’s reliance on expatriate RT workforce that contributes to the high RT to patient/bed ratios in the country. In the future, medical training schools should consider increasing the training RTs in different regions. The RTs numbers calculated in the Telford model does not cover all the RT needs, it focuses only on hospitals in KSA. </w:t>
      </w:r>
    </w:p>
    <w:p w14:paraId="4967076C" w14:textId="77777777" w:rsidR="005842E4" w:rsidRDefault="005842E4" w:rsidP="006E34BB">
      <w:pPr>
        <w:spacing w:after="0" w:line="360" w:lineRule="auto"/>
        <w:jc w:val="both"/>
        <w:rPr>
          <w:rFonts w:ascii="Times New Roman" w:hAnsi="Times New Roman" w:cs="Times New Roman"/>
          <w:sz w:val="24"/>
          <w:szCs w:val="24"/>
        </w:rPr>
      </w:pPr>
    </w:p>
    <w:p w14:paraId="2CCE07EC" w14:textId="11CDB4C4" w:rsidR="005842E4" w:rsidRDefault="006E34BB" w:rsidP="008A067E">
      <w:pPr>
        <w:pStyle w:val="Heading1"/>
        <w:numPr>
          <w:ilvl w:val="0"/>
          <w:numId w:val="2"/>
        </w:numPr>
        <w:spacing w:line="360" w:lineRule="auto"/>
        <w:jc w:val="both"/>
        <w:rPr>
          <w:rFonts w:ascii="Times New Roman" w:hAnsi="Times New Roman" w:cs="Times New Roman"/>
          <w:b/>
          <w:bCs/>
          <w:color w:val="000000" w:themeColor="text1"/>
          <w:sz w:val="24"/>
          <w:szCs w:val="24"/>
        </w:rPr>
      </w:pPr>
      <w:bookmarkStart w:id="1" w:name="_Toc40722478"/>
      <w:r w:rsidRPr="006E34BB">
        <w:rPr>
          <w:rFonts w:ascii="Times New Roman" w:hAnsi="Times New Roman" w:cs="Times New Roman"/>
          <w:b/>
          <w:bCs/>
          <w:color w:val="000000" w:themeColor="text1"/>
          <w:sz w:val="24"/>
          <w:szCs w:val="24"/>
        </w:rPr>
        <w:t xml:space="preserve">Introduction </w:t>
      </w:r>
      <w:bookmarkEnd w:id="1"/>
    </w:p>
    <w:p w14:paraId="7712C438" w14:textId="0B46C5A1" w:rsidR="005842E4" w:rsidRDefault="005842E4" w:rsidP="006E34BB">
      <w:pPr>
        <w:spacing w:after="0" w:line="360" w:lineRule="auto"/>
        <w:jc w:val="both"/>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Applying the Telford staffing method in the case of the Kingdom of Saudi Arabia (KSA) need for respiratory therapists in all its hospitals will be useful in the determination of the Respiratory Therapists (RTs), their qualifications, and posting in various hospitals in the 20 regions on a need basis</w:t>
      </w:r>
      <w:r>
        <w:rPr>
          <w:rStyle w:val="EndnoteReference"/>
          <w:rFonts w:ascii="Times New Roman" w:hAnsi="Times New Roman" w:cs="Times New Roman"/>
          <w:sz w:val="24"/>
          <w:szCs w:val="24"/>
        </w:rPr>
        <w:endnoteReference w:id="2"/>
      </w:r>
      <w:r>
        <w:rPr>
          <w:rFonts w:ascii="Times New Roman" w:hAnsi="Times New Roman" w:cs="Times New Roman"/>
          <w:sz w:val="24"/>
          <w:szCs w:val="24"/>
        </w:rPr>
        <w:t>. The Telford method was first developed in 1979.</w:t>
      </w:r>
      <w:r w:rsidR="006E34BB">
        <w:rPr>
          <w:rFonts w:ascii="Times New Roman" w:hAnsi="Times New Roman" w:cs="Times New Roman"/>
          <w:sz w:val="24"/>
          <w:szCs w:val="24"/>
        </w:rPr>
        <w:t xml:space="preserve"> </w:t>
      </w:r>
      <w:r>
        <w:rPr>
          <w:rFonts w:ascii="Times New Roman" w:hAnsi="Times New Roman" w:cs="Times New Roman"/>
          <w:sz w:val="24"/>
          <w:szCs w:val="24"/>
        </w:rPr>
        <w:t>it is a consultative approach that applies professional judgment in finding the most appropriate size for RT teams in the hospitals in Saudi Arabia</w:t>
      </w:r>
      <w:r>
        <w:rPr>
          <w:rStyle w:val="EndnoteReference"/>
          <w:rFonts w:ascii="Times New Roman" w:hAnsi="Times New Roman" w:cs="Times New Roman"/>
          <w:sz w:val="24"/>
          <w:szCs w:val="24"/>
        </w:rPr>
        <w:t xml:space="preserve"> </w:t>
      </w:r>
      <w:r>
        <w:rPr>
          <w:rStyle w:val="EndnoteReference"/>
          <w:rFonts w:ascii="Times New Roman" w:hAnsi="Times New Roman" w:cs="Times New Roman"/>
          <w:sz w:val="24"/>
          <w:szCs w:val="24"/>
        </w:rPr>
        <w:endnoteReference w:id="3"/>
      </w:r>
      <w:r>
        <w:rPr>
          <w:rFonts w:ascii="Times New Roman" w:hAnsi="Times New Roman" w:cs="Times New Roman"/>
          <w:sz w:val="24"/>
          <w:szCs w:val="24"/>
        </w:rPr>
        <w:t xml:space="preserve"> </w:t>
      </w:r>
      <w:r>
        <w:rPr>
          <w:rStyle w:val="EndnoteReference"/>
          <w:rFonts w:ascii="Times New Roman" w:hAnsi="Times New Roman" w:cs="Times New Roman"/>
          <w:sz w:val="24"/>
          <w:szCs w:val="24"/>
        </w:rPr>
        <w:endnoteReference w:id="4"/>
      </w:r>
      <w:r>
        <w:rPr>
          <w:rFonts w:ascii="Times New Roman" w:hAnsi="Times New Roman" w:cs="Times New Roman"/>
          <w:sz w:val="24"/>
          <w:szCs w:val="24"/>
        </w:rPr>
        <w:t>. The Telford approach is vital in determining the 7-day staffing formula that identifies the staff needed in the early shift, late shift, and night shift</w:t>
      </w:r>
      <w:r>
        <w:rPr>
          <w:rStyle w:val="EndnoteReference"/>
          <w:rFonts w:ascii="Times New Roman" w:hAnsi="Times New Roman" w:cs="Times New Roman"/>
          <w:sz w:val="24"/>
          <w:szCs w:val="24"/>
        </w:rPr>
        <w:endnoteReference w:id="5"/>
      </w:r>
      <w:r>
        <w:rPr>
          <w:rStyle w:val="EndnoteReference"/>
          <w:rFonts w:ascii="Times New Roman" w:hAnsi="Times New Roman" w:cs="Times New Roman"/>
          <w:sz w:val="24"/>
          <w:szCs w:val="24"/>
        </w:rPr>
        <w:endnoteReference w:id="6"/>
      </w:r>
      <w:r>
        <w:rPr>
          <w:rFonts w:ascii="Times New Roman" w:hAnsi="Times New Roman" w:cs="Times New Roman"/>
          <w:sz w:val="24"/>
          <w:szCs w:val="24"/>
        </w:rPr>
        <w:t>. The obtained staff numbers and shift distribution is then summarized for compensation purposes and RTs management in the hospitals</w:t>
      </w:r>
      <w:r>
        <w:rPr>
          <w:rStyle w:val="EndnoteReference"/>
          <w:rFonts w:ascii="Times New Roman" w:hAnsi="Times New Roman" w:cs="Times New Roman"/>
          <w:sz w:val="24"/>
          <w:szCs w:val="24"/>
        </w:rPr>
        <w:endnoteReference w:id="7"/>
      </w:r>
      <w:r>
        <w:rPr>
          <w:rFonts w:ascii="Times New Roman" w:hAnsi="Times New Roman" w:cs="Times New Roman"/>
          <w:sz w:val="24"/>
          <w:szCs w:val="24"/>
        </w:rPr>
        <w:t xml:space="preserve">. The method uses the RT-in-charge in evaluating the number of RTs needed in various hospitals and their shifts, which aids the calculating of the working hours of the RTs within a week and month, depending on the labor standards and regulations in KSA.  </w:t>
      </w:r>
    </w:p>
    <w:p w14:paraId="25FE903B" w14:textId="77777777" w:rsidR="005842E4" w:rsidRDefault="005842E4" w:rsidP="006E34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Vision 2030 of KSA highlights some of the areas where the government wants to improve services such as health care. According the Vision 2030 website, the country has invested in its health care and has currently attained a rate of 2.2 beds/1000 people. However, there is a need for the optimization and utilization of the facilities’ capacity to improve quality </w:t>
      </w:r>
      <w:r>
        <w:rPr>
          <w:rFonts w:ascii="Times New Roman" w:hAnsi="Times New Roman" w:cs="Times New Roman"/>
          <w:sz w:val="24"/>
          <w:szCs w:val="24"/>
        </w:rPr>
        <w:lastRenderedPageBreak/>
        <w:t>of services and therapy</w:t>
      </w:r>
      <w:r>
        <w:rPr>
          <w:rStyle w:val="EndnoteReference"/>
          <w:rFonts w:ascii="Times New Roman" w:hAnsi="Times New Roman" w:cs="Times New Roman"/>
          <w:sz w:val="24"/>
          <w:szCs w:val="24"/>
        </w:rPr>
        <w:endnoteReference w:id="8"/>
      </w:r>
      <w:r>
        <w:rPr>
          <w:rFonts w:ascii="Times New Roman" w:hAnsi="Times New Roman" w:cs="Times New Roman"/>
          <w:sz w:val="24"/>
          <w:szCs w:val="24"/>
        </w:rPr>
        <w:t xml:space="preserve">. Intending to facilitating preventive care and reduction of the spread of infectious diseases through increasing the access to primary care, there is a need to improve the ratio of respiratory therapists to hospital beds in KSA. Although the hospitals are categorized as MOH, non-MOH (the hospitals operated by the military, Saudi Arabian National Guard, Saudi Arabian Ministry of Defense and Aviation, Ministry of Interior, and Referral Hospitals), and private facilities, in line with the provisions of the Vision 2030, the current studies recommends the use of the existing resources to determine the numbers of respiratory therapists required to serve all the hospital beds in Saudi Arabia using data from the 2018 MOH statistical yearbook.        </w:t>
      </w:r>
    </w:p>
    <w:p w14:paraId="31EFF2E3" w14:textId="77777777" w:rsidR="005842E4" w:rsidRPr="008A067E" w:rsidRDefault="005842E4" w:rsidP="008A067E">
      <w:pPr>
        <w:pStyle w:val="Heading1"/>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2" w:name="_Toc40722479"/>
      <w:r w:rsidRPr="008A067E">
        <w:rPr>
          <w:rFonts w:ascii="Times New Roman" w:eastAsiaTheme="minorEastAsia" w:hAnsi="Times New Roman" w:cs="Times New Roman"/>
          <w:b/>
          <w:bCs/>
          <w:color w:val="000000" w:themeColor="text1"/>
          <w:sz w:val="24"/>
          <w:szCs w:val="24"/>
        </w:rPr>
        <w:t>Estimation of the Manpower Needs</w:t>
      </w:r>
      <w:bookmarkEnd w:id="2"/>
    </w:p>
    <w:p w14:paraId="5D45C4EE"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 xml:space="preserve">The budgetary allocations for the MOH as a percentage of the national budget was 7.61, accounting for SAR 67.7 billion. The allocation has been increasing as the number of hospitals and beds also increase, 282 hospitals and 43,080 beds. The increase in the funding of the activities of the MOH coincides with the rise in the number of hospitals and beds in addition to the increasing budget of KSA in the 2013-2017 period. </w:t>
      </w:r>
      <w:proofErr w:type="spellStart"/>
      <w:r>
        <w:rPr>
          <w:rFonts w:ascii="Times New Roman" w:eastAsiaTheme="minorEastAsia" w:hAnsi="Times New Roman" w:cs="Times New Roman"/>
          <w:sz w:val="24"/>
          <w:szCs w:val="24"/>
        </w:rPr>
        <w:t>Alatawi</w:t>
      </w:r>
      <w:proofErr w:type="spellEnd"/>
      <w:r>
        <w:rPr>
          <w:rFonts w:ascii="Times New Roman" w:eastAsiaTheme="minorEastAsia" w:hAnsi="Times New Roman" w:cs="Times New Roman"/>
          <w:sz w:val="24"/>
          <w:szCs w:val="24"/>
        </w:rPr>
        <w:t xml:space="preserve">, </w:t>
      </w:r>
      <w:proofErr w:type="spellStart"/>
      <w:r>
        <w:rPr>
          <w:rFonts w:ascii="Times New Roman" w:eastAsiaTheme="minorEastAsia" w:hAnsi="Times New Roman" w:cs="Times New Roman"/>
          <w:sz w:val="24"/>
          <w:szCs w:val="24"/>
        </w:rPr>
        <w:t>Niessen</w:t>
      </w:r>
      <w:proofErr w:type="spellEnd"/>
      <w:r>
        <w:rPr>
          <w:rFonts w:ascii="Times New Roman" w:eastAsiaTheme="minorEastAsia" w:hAnsi="Times New Roman" w:cs="Times New Roman"/>
          <w:sz w:val="24"/>
          <w:szCs w:val="24"/>
        </w:rPr>
        <w:t>, and Khan stated that hospital efficiency is one of the most critical factors in improving health systems' efficiency because hospitals are significant consumers of health resources</w:t>
      </w:r>
      <w:r>
        <w:rPr>
          <w:rStyle w:val="EndnoteReference"/>
          <w:rFonts w:ascii="Times New Roman" w:eastAsiaTheme="minorEastAsia" w:hAnsi="Times New Roman" w:cs="Times New Roman"/>
          <w:sz w:val="24"/>
          <w:szCs w:val="24"/>
        </w:rPr>
        <w:endnoteReference w:id="9"/>
      </w:r>
      <w:r>
        <w:rPr>
          <w:rFonts w:ascii="Times New Roman" w:eastAsiaTheme="minorEastAsia" w:hAnsi="Times New Roman" w:cs="Times New Roman"/>
          <w:sz w:val="24"/>
          <w:szCs w:val="24"/>
        </w:rPr>
        <w:t xml:space="preserve">. In the case of RTs in the MOH-owned facilities, hiring RTs in the facilities will increase the hospitals' efficiency, vis-à-vis providing effective respiratory care, which will improve KSA’s health system’s efficiency both in the short-term and long-term. As the number of hospital beds increase in the future, the ratio of RTs to beds will also change depending on the ability of the KSA government to recruit additional staff to fit the need for RTs in the hospitals at the internationally recommended ratio of 1:5 RTs per patient/bed in ICU and 1:20 RTs per patient/bed in general floor. </w:t>
      </w:r>
    </w:p>
    <w:p w14:paraId="58A0CFD4" w14:textId="77777777" w:rsidR="005842E4" w:rsidRPr="008A067E" w:rsidRDefault="005842E4" w:rsidP="008A067E">
      <w:pPr>
        <w:pStyle w:val="Heading2"/>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3" w:name="_Toc40722480"/>
      <w:r w:rsidRPr="008A067E">
        <w:rPr>
          <w:rFonts w:ascii="Times New Roman" w:eastAsiaTheme="minorEastAsia" w:hAnsi="Times New Roman" w:cs="Times New Roman"/>
          <w:b/>
          <w:bCs/>
          <w:color w:val="000000" w:themeColor="text1"/>
          <w:sz w:val="24"/>
          <w:szCs w:val="24"/>
        </w:rPr>
        <w:t>Assessment of KSA Need for Respiratory Therapist</w:t>
      </w:r>
      <w:bookmarkEnd w:id="3"/>
      <w:r w:rsidRPr="008A067E">
        <w:rPr>
          <w:rFonts w:ascii="Times New Roman" w:eastAsiaTheme="minorEastAsia" w:hAnsi="Times New Roman" w:cs="Times New Roman"/>
          <w:b/>
          <w:bCs/>
          <w:color w:val="000000" w:themeColor="text1"/>
          <w:sz w:val="24"/>
          <w:szCs w:val="24"/>
        </w:rPr>
        <w:t xml:space="preserve"> </w:t>
      </w:r>
    </w:p>
    <w:p w14:paraId="2C51CB0A"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The need for RTs in Saudi Arabia, which point to the shortage in the medical staff in respiratory care, indicate a workforce problem in KSA's health care system. The challenge of staff shortage of local health care facilities, in terms of pharmacists, physicians, and nurses is also the reason for the minimal number of health personnel in the country. Foreign health workers form a large segment of the health personnel in KSA, which is responsible for the high rates of turnover and workforce instability experienced in KSA today. Most of health care workers are nationals of Bahrain, Kuwait, Japan, Canada, France, and the United States, while the local occupy approximately 38 percent of the health care workforce</w:t>
      </w:r>
      <w:r>
        <w:rPr>
          <w:rStyle w:val="EndnoteReference"/>
          <w:rFonts w:ascii="Times New Roman" w:eastAsiaTheme="minorEastAsia" w:hAnsi="Times New Roman" w:cs="Times New Roman"/>
          <w:sz w:val="24"/>
          <w:szCs w:val="24"/>
        </w:rPr>
        <w:endnoteReference w:id="10"/>
      </w:r>
      <w:r>
        <w:rPr>
          <w:rFonts w:ascii="Times New Roman" w:hAnsi="Times New Roman" w:cs="Times New Roman"/>
          <w:sz w:val="24"/>
          <w:szCs w:val="24"/>
        </w:rPr>
        <w:t xml:space="preserve">. MOH's capacity to </w:t>
      </w:r>
      <w:r>
        <w:rPr>
          <w:rFonts w:ascii="Times New Roman" w:hAnsi="Times New Roman" w:cs="Times New Roman"/>
          <w:sz w:val="24"/>
          <w:szCs w:val="24"/>
        </w:rPr>
        <w:lastRenderedPageBreak/>
        <w:t>develop a model that will attract and keep a local workforce in KSA's health care system, specifically in respiratory care, will help treat some of the conditions that require RTs and nurses.</w:t>
      </w:r>
    </w:p>
    <w:p w14:paraId="58E6FBFF" w14:textId="77777777" w:rsidR="005842E4" w:rsidRDefault="005842E4" w:rsidP="006E34BB">
      <w:pPr>
        <w:spacing w:after="0" w:line="360" w:lineRule="auto"/>
        <w:jc w:val="both"/>
        <w:rPr>
          <w:rFonts w:ascii="Times New Roman"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Respiratory Therapists provide care to patients with breathing difficulties, emanating from medical conditions associated with problems such as asthma, emphysema, and chronic respiratory diseases. Only about 21.4 percent of the total hospitals in the KSA (88 hospitals) have RTs, and only about 12.7 percent (31 hospitals) of the 244 hospitals managed by the Ministry of Health employ RTs. The author adds that there are 1477 RTs in Saudi Arabia, where 371 (25 percent) are Saudi nationals, and the rest are foreign professional RTs. The study results by Alotaibi in 2015 show that 60 percent of RT labor force work in private health care facilities (not managed by the Ministry of Health), and approximately 50 percent of RTs work in hospitals in the province of Riyadh. Additionally, roughly 60 percent of the RTs are assigned to critical care units of the facilities, where the total ratio of an RT to intensive care unit bed ratio was 1:9 for the non-MOH hospitals and 1:20 for the MOH-owned hospitals</w:t>
      </w:r>
      <w:r>
        <w:rPr>
          <w:rStyle w:val="EndnoteReference"/>
          <w:rFonts w:ascii="Times New Roman" w:eastAsiaTheme="minorEastAsia" w:hAnsi="Times New Roman" w:cs="Times New Roman"/>
          <w:sz w:val="24"/>
          <w:szCs w:val="24"/>
        </w:rPr>
        <w:endnoteReference w:id="11"/>
      </w:r>
      <w:r>
        <w:rPr>
          <w:rFonts w:ascii="Times New Roman" w:eastAsiaTheme="minorEastAsia" w:hAnsi="Times New Roman" w:cs="Times New Roman"/>
          <w:sz w:val="24"/>
          <w:szCs w:val="24"/>
        </w:rPr>
        <w:t>. The rate proposes, a rate of 1:20 for the hospitals under the Ministry of Health hospitals, non-MOH, and privately-owned hospitals, which were 1:9 in the non-MOH hospitals and 1:20 for the MOH hospitals, an average of 1:11 of MOH in the 2015 study by Alotaibi</w:t>
      </w:r>
      <w:r>
        <w:rPr>
          <w:rStyle w:val="EndnoteReference"/>
          <w:rFonts w:ascii="Times New Roman" w:eastAsiaTheme="minorEastAsia" w:hAnsi="Times New Roman" w:cs="Times New Roman"/>
          <w:sz w:val="24"/>
          <w:szCs w:val="24"/>
        </w:rPr>
        <w:endnoteReference w:id="12"/>
      </w:r>
      <w:r>
        <w:rPr>
          <w:rFonts w:ascii="Times New Roman" w:eastAsiaTheme="minorEastAsia" w:hAnsi="Times New Roman" w:cs="Times New Roman"/>
          <w:sz w:val="24"/>
          <w:szCs w:val="24"/>
        </w:rPr>
        <w:t xml:space="preserve">. </w:t>
      </w:r>
      <w:r>
        <w:rPr>
          <w:rFonts w:ascii="Times New Roman" w:hAnsi="Times New Roman" w:cs="Times New Roman"/>
          <w:sz w:val="24"/>
          <w:szCs w:val="24"/>
        </w:rPr>
        <w:t>According to 2011 data of the workforce characteristics of respiratory care in Saudi Arabia, indicating that the Ministry of Health (MOH) controls 25.6 percent of the respiratory care aspects, other government facilities control 60 percent, and the private sector controls 14.4 percent. The authors add that respiratory care is still a developing medical field in KSA, yet to fully recognized in its health care system, which is attributable to late introduction of the field of health care in KSA and the challenges in finding qualified RTs internationally and locally</w:t>
      </w:r>
      <w:r>
        <w:rPr>
          <w:rStyle w:val="EndnoteReference"/>
          <w:rFonts w:ascii="Times New Roman" w:hAnsi="Times New Roman" w:cs="Times New Roman"/>
          <w:sz w:val="24"/>
          <w:szCs w:val="24"/>
        </w:rPr>
        <w:endnoteReference w:id="13"/>
      </w:r>
      <w:r>
        <w:rPr>
          <w:rFonts w:ascii="Times New Roman" w:hAnsi="Times New Roman" w:cs="Times New Roman"/>
          <w:sz w:val="24"/>
          <w:szCs w:val="24"/>
        </w:rPr>
        <w:t>. Thus, the author indicates that 78.6 percent of the hospitals in KSA have no RTs, raising the ratio of RTs to the KSA population to 1:17629.</w:t>
      </w:r>
    </w:p>
    <w:p w14:paraId="305E5CC6" w14:textId="77777777" w:rsidR="005842E4" w:rsidRDefault="005842E4" w:rsidP="006E34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Nonetheless, MOH management of 60 percent of the health care system of KSA is an essential aspect because of the positive effect it will have in the future of respiratory care. Further, the Central Board for Accreditation of Healthcare Institutions (CBAHI) included respiratory care among the standards that health care facilities should attain before accreditation. This implies that health care institutions will be compelled to establish respiratory care services in compliance with the requirements of the CBAHI. Another significant milestone in the health care sector was the 2012 approval of ‘Respiratory Therapist’ by the Ministry of Civil Services as a job title in the KSA's health care sector</w:t>
      </w:r>
      <w:r>
        <w:rPr>
          <w:rStyle w:val="EndnoteReference"/>
          <w:rFonts w:ascii="Times New Roman" w:hAnsi="Times New Roman" w:cs="Times New Roman"/>
          <w:sz w:val="24"/>
          <w:szCs w:val="24"/>
        </w:rPr>
        <w:endnoteReference w:id="14"/>
      </w:r>
      <w:r>
        <w:rPr>
          <w:rFonts w:ascii="Times New Roman" w:hAnsi="Times New Roman" w:cs="Times New Roman"/>
          <w:sz w:val="24"/>
          <w:szCs w:val="24"/>
        </w:rPr>
        <w:t>. The recognition of RT as a profession is crucial for hiring and staffing RTs in hospitals</w:t>
      </w:r>
      <w:r>
        <w:rPr>
          <w:rStyle w:val="EndnoteReference"/>
          <w:rFonts w:ascii="Times New Roman" w:hAnsi="Times New Roman" w:cs="Times New Roman"/>
          <w:sz w:val="24"/>
          <w:szCs w:val="24"/>
        </w:rPr>
        <w:endnoteReference w:id="15"/>
      </w:r>
      <w:r>
        <w:rPr>
          <w:rFonts w:ascii="Times New Roman" w:hAnsi="Times New Roman" w:cs="Times New Roman"/>
          <w:sz w:val="24"/>
          <w:szCs w:val="24"/>
        </w:rPr>
        <w:t xml:space="preserve">. The background of </w:t>
      </w:r>
      <w:r>
        <w:rPr>
          <w:rFonts w:ascii="Times New Roman" w:hAnsi="Times New Roman" w:cs="Times New Roman"/>
          <w:sz w:val="24"/>
          <w:szCs w:val="24"/>
        </w:rPr>
        <w:lastRenderedPageBreak/>
        <w:t xml:space="preserve">respiratory care in KSA shows the growth and development in the field and how staffing work of RTs should be conducted, with a full appreciation of the health care dynamics of the country and the fact that RT is a relatively new health care profession in KSA. </w:t>
      </w:r>
    </w:p>
    <w:p w14:paraId="2F19EA6D" w14:textId="77777777" w:rsidR="005842E4" w:rsidRDefault="005842E4" w:rsidP="006E34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training of RTs in KSA has also become a significant area of educational investment in the country. Medical colleges such as the </w:t>
      </w:r>
      <w:proofErr w:type="spellStart"/>
      <w:r>
        <w:rPr>
          <w:rFonts w:ascii="Times New Roman" w:hAnsi="Times New Roman" w:cs="Times New Roman"/>
          <w:sz w:val="24"/>
          <w:szCs w:val="24"/>
        </w:rPr>
        <w:t>Batterjee</w:t>
      </w:r>
      <w:proofErr w:type="spellEnd"/>
      <w:r>
        <w:rPr>
          <w:rFonts w:ascii="Times New Roman" w:hAnsi="Times New Roman" w:cs="Times New Roman"/>
          <w:sz w:val="24"/>
          <w:szCs w:val="24"/>
        </w:rPr>
        <w:t xml:space="preserve"> Medical College offers training to RTs that cover a 5-year program on a course that involves various applicable units before graduating as a qualified RT in Saudi Arabia</w:t>
      </w:r>
      <w:r>
        <w:rPr>
          <w:rStyle w:val="EndnoteReference"/>
          <w:rFonts w:ascii="Times New Roman" w:hAnsi="Times New Roman" w:cs="Times New Roman"/>
          <w:sz w:val="24"/>
          <w:szCs w:val="24"/>
        </w:rPr>
        <w:endnoteReference w:id="16"/>
      </w:r>
      <w:r>
        <w:rPr>
          <w:rFonts w:ascii="Times New Roman" w:hAnsi="Times New Roman" w:cs="Times New Roman"/>
          <w:sz w:val="24"/>
          <w:szCs w:val="24"/>
        </w:rPr>
        <w:t xml:space="preserve">. </w:t>
      </w:r>
    </w:p>
    <w:p w14:paraId="104330EA" w14:textId="77777777" w:rsidR="005842E4" w:rsidRDefault="005842E4" w:rsidP="006E34BB">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Apart from this college, there are other private and publicly-funded colleges and institutes of health in KSA (King Abdullah International Medical Research Center)</w:t>
      </w:r>
      <w:r>
        <w:rPr>
          <w:rStyle w:val="EndnoteReference"/>
          <w:rFonts w:ascii="Times New Roman" w:hAnsi="Times New Roman" w:cs="Times New Roman"/>
          <w:sz w:val="24"/>
          <w:szCs w:val="24"/>
        </w:rPr>
        <w:endnoteReference w:id="17"/>
      </w:r>
      <w:r>
        <w:rPr>
          <w:rFonts w:ascii="Times New Roman" w:hAnsi="Times New Roman" w:cs="Times New Roman"/>
          <w:sz w:val="24"/>
          <w:szCs w:val="24"/>
        </w:rPr>
        <w:t>, which aim to train local Saudis to reduce the number of expatriates in the health care system and ensure workforce stability in the sector</w:t>
      </w:r>
      <w:r>
        <w:rPr>
          <w:rStyle w:val="EndnoteReference"/>
          <w:rFonts w:ascii="Times New Roman" w:hAnsi="Times New Roman" w:cs="Times New Roman"/>
          <w:sz w:val="24"/>
          <w:szCs w:val="24"/>
        </w:rPr>
        <w:endnoteReference w:id="18"/>
      </w:r>
      <w:r>
        <w:rPr>
          <w:rFonts w:ascii="Times New Roman" w:hAnsi="Times New Roman" w:cs="Times New Roman"/>
          <w:sz w:val="24"/>
          <w:szCs w:val="24"/>
        </w:rPr>
        <w:t xml:space="preserve">. </w:t>
      </w:r>
    </w:p>
    <w:p w14:paraId="7CB84843" w14:textId="77777777" w:rsidR="005842E4" w:rsidRPr="008A067E" w:rsidRDefault="005842E4" w:rsidP="008A067E">
      <w:pPr>
        <w:pStyle w:val="Heading2"/>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4" w:name="_Toc40722481"/>
      <w:r w:rsidRPr="008A067E">
        <w:rPr>
          <w:rFonts w:ascii="Times New Roman" w:eastAsiaTheme="minorEastAsia" w:hAnsi="Times New Roman" w:cs="Times New Roman"/>
          <w:b/>
          <w:bCs/>
          <w:color w:val="000000" w:themeColor="text1"/>
          <w:sz w:val="24"/>
          <w:szCs w:val="24"/>
        </w:rPr>
        <w:t>Hospital Respiratory Cases</w:t>
      </w:r>
      <w:bookmarkEnd w:id="4"/>
    </w:p>
    <w:p w14:paraId="44B92894"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Middle East Respiratory Syndrome Coronavirus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is one of the main conditions leading to hospitalization and requiring respiratory care provided by RTs and nurses. The World Health Organization (WHO) (2017) indicated that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xml:space="preserve"> infections were reported in Riyadh between June 1 and 10, 2017. In one of the KSA's public health responses, there was an initiative to enforce visual triage for respiratory conditions in the ER and outpatient facilities, aiming to ensure round-the-clock availability of nurses for early diagnosis of patients with symptoms of respiratory diseases and conduct proper documentation</w:t>
      </w:r>
      <w:r>
        <w:rPr>
          <w:rStyle w:val="EndnoteReference"/>
          <w:rFonts w:ascii="Times New Roman" w:eastAsiaTheme="minorEastAsia" w:hAnsi="Times New Roman" w:cs="Times New Roman"/>
          <w:sz w:val="24"/>
          <w:szCs w:val="24"/>
        </w:rPr>
        <w:endnoteReference w:id="19"/>
      </w:r>
      <w:r>
        <w:rPr>
          <w:rFonts w:ascii="Times New Roman" w:eastAsiaTheme="minorEastAsia" w:hAnsi="Times New Roman" w:cs="Times New Roman"/>
          <w:sz w:val="24"/>
          <w:szCs w:val="24"/>
        </w:rPr>
        <w:t>. Such a public health response indicates the need to hire RTs to deal with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xml:space="preserve"> and other infectious respiratory conditions</w:t>
      </w:r>
      <w:r>
        <w:rPr>
          <w:rStyle w:val="EndnoteReference"/>
          <w:rFonts w:ascii="Times New Roman" w:eastAsiaTheme="minorEastAsia" w:hAnsi="Times New Roman" w:cs="Times New Roman"/>
          <w:sz w:val="24"/>
          <w:szCs w:val="24"/>
        </w:rPr>
        <w:endnoteReference w:id="20"/>
      </w:r>
      <w:r>
        <w:rPr>
          <w:rFonts w:ascii="Times New Roman" w:eastAsiaTheme="minorEastAsia" w:hAnsi="Times New Roman" w:cs="Times New Roman"/>
          <w:sz w:val="24"/>
          <w:szCs w:val="24"/>
        </w:rPr>
        <w:t>. The number of deaths because of the viral infection of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xml:space="preserve"> amounting to 708 deaths out of the 1814 cases was a result of the infections occurring among individuals with previous conditions, such as chronic kidney diseases, diabetes mellitus, and hypertension</w:t>
      </w:r>
      <w:r>
        <w:rPr>
          <w:rStyle w:val="EndnoteReference"/>
          <w:rFonts w:ascii="Times New Roman" w:eastAsiaTheme="minorEastAsia" w:hAnsi="Times New Roman" w:cs="Times New Roman"/>
          <w:sz w:val="24"/>
          <w:szCs w:val="24"/>
        </w:rPr>
        <w:endnoteReference w:id="21"/>
      </w:r>
      <w:r>
        <w:rPr>
          <w:rFonts w:ascii="Times New Roman" w:eastAsiaTheme="minorEastAsia" w:hAnsi="Times New Roman" w:cs="Times New Roman"/>
          <w:sz w:val="24"/>
          <w:szCs w:val="24"/>
        </w:rPr>
        <w:t>. The role played by previous conditions in the mortality rates of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xml:space="preserve"> also show that aspect of the transmission of the virus in the health care institutions, further indicating the need for specialized care of the patients with infectious respiratory diseases in the hospitals to avoid multiple infections in such settings</w:t>
      </w:r>
      <w:r>
        <w:rPr>
          <w:rStyle w:val="EndnoteReference"/>
          <w:rFonts w:ascii="Times New Roman" w:eastAsiaTheme="minorEastAsia" w:hAnsi="Times New Roman" w:cs="Times New Roman"/>
          <w:sz w:val="24"/>
          <w:szCs w:val="24"/>
        </w:rPr>
        <w:endnoteReference w:id="22"/>
      </w:r>
      <w:r>
        <w:rPr>
          <w:rFonts w:ascii="Times New Roman" w:eastAsiaTheme="minorEastAsia" w:hAnsi="Times New Roman" w:cs="Times New Roman"/>
          <w:sz w:val="24"/>
          <w:szCs w:val="24"/>
        </w:rPr>
        <w:t xml:space="preserve"> </w:t>
      </w:r>
      <w:r>
        <w:rPr>
          <w:rStyle w:val="EndnoteReference"/>
          <w:rFonts w:ascii="Times New Roman" w:eastAsiaTheme="minorEastAsia" w:hAnsi="Times New Roman" w:cs="Times New Roman"/>
          <w:sz w:val="24"/>
          <w:szCs w:val="24"/>
        </w:rPr>
        <w:endnoteReference w:id="23"/>
      </w:r>
      <w:r>
        <w:rPr>
          <w:rFonts w:ascii="Times New Roman" w:eastAsiaTheme="minorEastAsia" w:hAnsi="Times New Roman" w:cs="Times New Roman"/>
          <w:sz w:val="24"/>
          <w:szCs w:val="24"/>
        </w:rPr>
        <w:t xml:space="preserve"> </w:t>
      </w:r>
      <w:r>
        <w:rPr>
          <w:rStyle w:val="EndnoteReference"/>
          <w:rFonts w:ascii="Times New Roman" w:eastAsiaTheme="minorEastAsia" w:hAnsi="Times New Roman" w:cs="Times New Roman"/>
          <w:sz w:val="24"/>
          <w:szCs w:val="24"/>
        </w:rPr>
        <w:endnoteReference w:id="24"/>
      </w:r>
      <w:r>
        <w:rPr>
          <w:rFonts w:ascii="Times New Roman" w:eastAsiaTheme="minorEastAsia" w:hAnsi="Times New Roman" w:cs="Times New Roman"/>
          <w:sz w:val="24"/>
          <w:szCs w:val="24"/>
        </w:rPr>
        <w:t xml:space="preserve">. </w:t>
      </w:r>
    </w:p>
    <w:p w14:paraId="0E568186"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roofErr w:type="spellStart"/>
      <w:r>
        <w:rPr>
          <w:rFonts w:ascii="Times New Roman" w:eastAsiaTheme="minorEastAsia" w:hAnsi="Times New Roman" w:cs="Times New Roman"/>
          <w:sz w:val="24"/>
          <w:szCs w:val="24"/>
        </w:rPr>
        <w:t>Assiri</w:t>
      </w:r>
      <w:proofErr w:type="spellEnd"/>
      <w:r>
        <w:rPr>
          <w:rFonts w:ascii="Times New Roman" w:eastAsiaTheme="minorEastAsia" w:hAnsi="Times New Roman" w:cs="Times New Roman"/>
          <w:sz w:val="24"/>
          <w:szCs w:val="24"/>
        </w:rPr>
        <w:t xml:space="preserve"> et al. conducted a study that focused on the cases of the respiratory infections outbreak in hospitals, which further shows the need for a practical management approach of respiratory infections in hospitals in KSA</w:t>
      </w:r>
      <w:r>
        <w:rPr>
          <w:rStyle w:val="EndnoteReference"/>
          <w:rFonts w:ascii="Times New Roman" w:eastAsiaTheme="minorEastAsia" w:hAnsi="Times New Roman" w:cs="Times New Roman"/>
          <w:sz w:val="24"/>
          <w:szCs w:val="24"/>
        </w:rPr>
        <w:endnoteReference w:id="25"/>
      </w:r>
      <w:r>
        <w:rPr>
          <w:rFonts w:ascii="Times New Roman" w:eastAsiaTheme="minorEastAsia" w:hAnsi="Times New Roman" w:cs="Times New Roman"/>
          <w:sz w:val="24"/>
          <w:szCs w:val="24"/>
        </w:rPr>
        <w:t xml:space="preserve">. Similar findings have been made by other scholars such as </w:t>
      </w:r>
      <w:proofErr w:type="spellStart"/>
      <w:r>
        <w:rPr>
          <w:rFonts w:ascii="Times New Roman" w:eastAsiaTheme="minorEastAsia" w:hAnsi="Times New Roman" w:cs="Times New Roman"/>
          <w:sz w:val="24"/>
          <w:szCs w:val="24"/>
        </w:rPr>
        <w:t>Abolfotouh</w:t>
      </w:r>
      <w:proofErr w:type="spellEnd"/>
      <w:r>
        <w:rPr>
          <w:rFonts w:ascii="Times New Roman" w:eastAsiaTheme="minorEastAsia" w:hAnsi="Times New Roman" w:cs="Times New Roman"/>
          <w:sz w:val="24"/>
          <w:szCs w:val="24"/>
        </w:rPr>
        <w:t xml:space="preserve"> et al.</w:t>
      </w:r>
      <w:r>
        <w:rPr>
          <w:rStyle w:val="EndnoteReference"/>
          <w:rFonts w:ascii="Times New Roman" w:eastAsiaTheme="minorEastAsia" w:hAnsi="Times New Roman" w:cs="Times New Roman"/>
          <w:sz w:val="24"/>
          <w:szCs w:val="24"/>
        </w:rPr>
        <w:endnoteReference w:id="26"/>
      </w:r>
      <w:r>
        <w:rPr>
          <w:rFonts w:ascii="Times New Roman" w:eastAsiaTheme="minorEastAsia" w:hAnsi="Times New Roman" w:cs="Times New Roman"/>
          <w:sz w:val="24"/>
          <w:szCs w:val="24"/>
        </w:rPr>
        <w:t>, who state that health care workers are at risk of acquiring and transmitting MERS-</w:t>
      </w:r>
      <w:proofErr w:type="spellStart"/>
      <w:r>
        <w:rPr>
          <w:rFonts w:ascii="Times New Roman" w:eastAsiaTheme="minorEastAsia" w:hAnsi="Times New Roman" w:cs="Times New Roman"/>
          <w:sz w:val="24"/>
          <w:szCs w:val="24"/>
        </w:rPr>
        <w:t>CoV</w:t>
      </w:r>
      <w:proofErr w:type="spellEnd"/>
      <w:r>
        <w:rPr>
          <w:rFonts w:ascii="Times New Roman" w:eastAsiaTheme="minorEastAsia" w:hAnsi="Times New Roman" w:cs="Times New Roman"/>
          <w:sz w:val="24"/>
          <w:szCs w:val="24"/>
        </w:rPr>
        <w:t xml:space="preserve"> and, in </w:t>
      </w:r>
      <w:proofErr w:type="spellStart"/>
      <w:r>
        <w:rPr>
          <w:rFonts w:ascii="Times New Roman" w:eastAsiaTheme="minorEastAsia" w:hAnsi="Times New Roman" w:cs="Times New Roman"/>
          <w:sz w:val="24"/>
          <w:szCs w:val="24"/>
        </w:rPr>
        <w:t>Taif</w:t>
      </w:r>
      <w:proofErr w:type="spellEnd"/>
      <w:r>
        <w:rPr>
          <w:rFonts w:ascii="Times New Roman" w:eastAsiaTheme="minorEastAsia" w:hAnsi="Times New Roman" w:cs="Times New Roman"/>
          <w:sz w:val="24"/>
          <w:szCs w:val="24"/>
        </w:rPr>
        <w:t xml:space="preserve"> region, </w:t>
      </w:r>
      <w:proofErr w:type="spellStart"/>
      <w:r>
        <w:rPr>
          <w:rFonts w:ascii="Times New Roman" w:eastAsiaTheme="minorEastAsia" w:hAnsi="Times New Roman" w:cs="Times New Roman"/>
          <w:sz w:val="24"/>
          <w:szCs w:val="24"/>
        </w:rPr>
        <w:t>Assiri</w:t>
      </w:r>
      <w:proofErr w:type="spellEnd"/>
      <w:r>
        <w:rPr>
          <w:rFonts w:ascii="Times New Roman" w:eastAsiaTheme="minorEastAsia" w:hAnsi="Times New Roman" w:cs="Times New Roman"/>
          <w:sz w:val="24"/>
          <w:szCs w:val="24"/>
        </w:rPr>
        <w:t xml:space="preserve"> et al. found in 2016 that thirteen patients </w:t>
      </w:r>
      <w:r>
        <w:rPr>
          <w:rFonts w:ascii="Times New Roman" w:eastAsiaTheme="minorEastAsia" w:hAnsi="Times New Roman" w:cs="Times New Roman"/>
          <w:sz w:val="24"/>
          <w:szCs w:val="24"/>
        </w:rPr>
        <w:lastRenderedPageBreak/>
        <w:t>were health care staff in the dialysis unit</w:t>
      </w:r>
      <w:r>
        <w:rPr>
          <w:rStyle w:val="EndnoteReference"/>
          <w:rFonts w:ascii="Times New Roman" w:eastAsiaTheme="minorEastAsia" w:hAnsi="Times New Roman" w:cs="Times New Roman"/>
          <w:sz w:val="24"/>
          <w:szCs w:val="24"/>
        </w:rPr>
        <w:endnoteReference w:id="27"/>
      </w:r>
      <w:r>
        <w:rPr>
          <w:rFonts w:ascii="Times New Roman" w:eastAsiaTheme="minorEastAsia" w:hAnsi="Times New Roman" w:cs="Times New Roman"/>
          <w:sz w:val="24"/>
          <w:szCs w:val="24"/>
        </w:rPr>
        <w:t>. The findings made by these scholars is in indication that there are no specialized treatment and care provided to the patients with the respiratory disease, leading to the infections in the health care facilities (Al-</w:t>
      </w:r>
      <w:proofErr w:type="spellStart"/>
      <w:r>
        <w:rPr>
          <w:rFonts w:ascii="Times New Roman" w:eastAsiaTheme="minorEastAsia" w:hAnsi="Times New Roman" w:cs="Times New Roman"/>
          <w:sz w:val="24"/>
          <w:szCs w:val="24"/>
        </w:rPr>
        <w:t>Dorzi</w:t>
      </w:r>
      <w:proofErr w:type="spellEnd"/>
      <w:r>
        <w:rPr>
          <w:rFonts w:ascii="Times New Roman" w:eastAsiaTheme="minorEastAsia" w:hAnsi="Times New Roman" w:cs="Times New Roman"/>
          <w:sz w:val="24"/>
          <w:szCs w:val="24"/>
        </w:rPr>
        <w:t xml:space="preserve"> et al., 2016; </w:t>
      </w:r>
      <w:proofErr w:type="spellStart"/>
      <w:r>
        <w:rPr>
          <w:rFonts w:ascii="Times New Roman" w:eastAsiaTheme="minorEastAsia" w:hAnsi="Times New Roman" w:cs="Times New Roman"/>
          <w:sz w:val="24"/>
          <w:szCs w:val="24"/>
        </w:rPr>
        <w:t>Balkhy</w:t>
      </w:r>
      <w:proofErr w:type="spellEnd"/>
      <w:r>
        <w:rPr>
          <w:rFonts w:ascii="Times New Roman" w:eastAsiaTheme="minorEastAsia" w:hAnsi="Times New Roman" w:cs="Times New Roman"/>
          <w:sz w:val="24"/>
          <w:szCs w:val="24"/>
        </w:rPr>
        <w:t xml:space="preserve"> et al, 2016; Habib et al, 2019)</w:t>
      </w:r>
      <w:r>
        <w:rPr>
          <w:rStyle w:val="EndnoteReference"/>
          <w:rFonts w:ascii="Times New Roman" w:eastAsiaTheme="minorEastAsia" w:hAnsi="Times New Roman" w:cs="Times New Roman"/>
          <w:sz w:val="24"/>
          <w:szCs w:val="24"/>
        </w:rPr>
        <w:endnoteReference w:id="28"/>
      </w:r>
      <w:r>
        <w:rPr>
          <w:rFonts w:ascii="Times New Roman" w:eastAsiaTheme="minorEastAsia" w:hAnsi="Times New Roman" w:cs="Times New Roman"/>
          <w:sz w:val="24"/>
          <w:szCs w:val="24"/>
        </w:rPr>
        <w:t>. The cases of transmission of infectious respiratory diseases in hospitals show a low-level of involvement of qualified RTs in the critical care units with patients with chronic heart, kidney, and respiratory problems</w:t>
      </w:r>
      <w:r>
        <w:rPr>
          <w:rStyle w:val="EndnoteReference"/>
          <w:rFonts w:ascii="Times New Roman" w:eastAsiaTheme="minorEastAsia" w:hAnsi="Times New Roman" w:cs="Times New Roman"/>
          <w:sz w:val="24"/>
          <w:szCs w:val="24"/>
        </w:rPr>
        <w:endnoteReference w:id="29"/>
      </w:r>
      <w:r>
        <w:rPr>
          <w:rFonts w:ascii="Times New Roman" w:eastAsiaTheme="minorEastAsia" w:hAnsi="Times New Roman" w:cs="Times New Roman"/>
          <w:sz w:val="24"/>
          <w:szCs w:val="24"/>
        </w:rPr>
        <w:t xml:space="preserve">. In such settings, the poor management of the patients' respiratory issues leads to deaths and transmission of infections because of poorly equipped RT aspects of the hospitals. </w:t>
      </w:r>
    </w:p>
    <w:p w14:paraId="27B3974C"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The Covid-19 virus has led to 1,916 deaths in Saudi Arabia out of the 209,509 infections by July 06 , 2020</w:t>
      </w:r>
      <w:r>
        <w:rPr>
          <w:rStyle w:val="EndnoteReference"/>
          <w:rFonts w:ascii="Times New Roman" w:eastAsiaTheme="minorEastAsia" w:hAnsi="Times New Roman" w:cs="Times New Roman"/>
          <w:sz w:val="24"/>
          <w:szCs w:val="24"/>
        </w:rPr>
        <w:endnoteReference w:id="30"/>
      </w:r>
      <w:r>
        <w:rPr>
          <w:rFonts w:ascii="Times New Roman" w:eastAsiaTheme="minorEastAsia" w:hAnsi="Times New Roman" w:cs="Times New Roman"/>
          <w:sz w:val="24"/>
          <w:szCs w:val="24"/>
        </w:rPr>
        <w:t>. The increase in the number of Covid-19 diseases since January 2020 has confirmed the challenges experienced in respiratory care in Saudi Arabia. Although global rates are higher than those of KSA, with enough RTs, the health outcomes of Covid-19 infections could have been better through increased rates of recovery. Providing respiratory support to Covid-19 patients through noninvasive or, invasive approaches is possible using mechanical ventilation and ICU care. Whittle et al. recommend four respiratory care approaches that can be facilitated by RTs, including metered-dose inhalers, supplemental oxygen for hypoxic respiratory problems, high airflow nasal oxygen for patients with oxygen needs and noninvasive positive pressure ventilation, and early mechanical ventilation to avoid acute respiratory distress syndrome</w:t>
      </w:r>
      <w:r>
        <w:rPr>
          <w:rStyle w:val="EndnoteReference"/>
          <w:rFonts w:ascii="Times New Roman" w:eastAsiaTheme="minorEastAsia" w:hAnsi="Times New Roman" w:cs="Times New Roman"/>
          <w:sz w:val="24"/>
          <w:szCs w:val="24"/>
        </w:rPr>
        <w:endnoteReference w:id="31"/>
      </w:r>
      <w:r>
        <w:rPr>
          <w:rFonts w:ascii="Times New Roman" w:eastAsiaTheme="minorEastAsia" w:hAnsi="Times New Roman" w:cs="Times New Roman"/>
          <w:sz w:val="24"/>
          <w:szCs w:val="24"/>
        </w:rPr>
        <w:t>.</w:t>
      </w:r>
    </w:p>
    <w:p w14:paraId="2FBFF921" w14:textId="77777777" w:rsidR="005842E4" w:rsidRPr="008A067E" w:rsidRDefault="005842E4" w:rsidP="008A067E">
      <w:pPr>
        <w:pStyle w:val="Heading1"/>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5" w:name="_Toc40722482"/>
      <w:r w:rsidRPr="008A067E">
        <w:rPr>
          <w:rFonts w:ascii="Times New Roman" w:eastAsiaTheme="minorEastAsia" w:hAnsi="Times New Roman" w:cs="Times New Roman"/>
          <w:b/>
          <w:bCs/>
          <w:color w:val="000000" w:themeColor="text1"/>
          <w:sz w:val="24"/>
          <w:szCs w:val="24"/>
        </w:rPr>
        <w:t>Scope of Service</w:t>
      </w:r>
      <w:bookmarkEnd w:id="5"/>
    </w:p>
    <w:p w14:paraId="72C53B81"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To improve the health outcomes in healthcare facilities across Saudi Arabia, there is a need to recruit RTs to work in critical care and general floor in the country. Respiratory care units of the hospitals in K.S.A. are essential components for the ICU teams, where they work with nurses, physicians, and other personnel in the management of ventilators, blood sample diagnosis, assisting in bronchoscopy, nitric oxide gas administration and </w:t>
      </w:r>
      <w:proofErr w:type="spellStart"/>
      <w:r>
        <w:rPr>
          <w:rFonts w:ascii="Times New Roman" w:eastAsiaTheme="minorEastAsia" w:hAnsi="Times New Roman" w:cs="Times New Roman"/>
          <w:sz w:val="24"/>
          <w:szCs w:val="24"/>
        </w:rPr>
        <w:t>heliox</w:t>
      </w:r>
      <w:proofErr w:type="spellEnd"/>
      <w:r>
        <w:rPr>
          <w:rFonts w:ascii="Times New Roman" w:eastAsiaTheme="minorEastAsia" w:hAnsi="Times New Roman" w:cs="Times New Roman"/>
          <w:sz w:val="24"/>
          <w:szCs w:val="24"/>
        </w:rPr>
        <w:t xml:space="preserve"> treatment as well as all the other issues associated with hemodynamic assessment. The other units, where the RTs will work in the hospitals within KSA include inpatient and outpatient services such as aerosol therapy, oxygen administration and ventilator support (noninvasive)</w:t>
      </w:r>
      <w:r>
        <w:rPr>
          <w:rStyle w:val="EndnoteReference"/>
          <w:rFonts w:ascii="Times New Roman" w:eastAsiaTheme="minorEastAsia" w:hAnsi="Times New Roman" w:cs="Times New Roman"/>
          <w:sz w:val="24"/>
          <w:szCs w:val="24"/>
        </w:rPr>
        <w:endnoteReference w:id="32"/>
      </w:r>
      <w:r>
        <w:rPr>
          <w:rFonts w:ascii="Times New Roman" w:eastAsiaTheme="minorEastAsia" w:hAnsi="Times New Roman" w:cs="Times New Roman"/>
          <w:sz w:val="24"/>
          <w:szCs w:val="24"/>
        </w:rPr>
        <w:t>.</w:t>
      </w:r>
    </w:p>
    <w:p w14:paraId="1388BFDF"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Emergency Room RTs assist doctors in lung and heart diseases as well as help patients with breathing difficulties. Patients with pneumonia and the others that need life support require RTs who will facilitate the installation and proper functioning of ventilators</w:t>
      </w:r>
      <w:r>
        <w:rPr>
          <w:rStyle w:val="EndnoteReference"/>
          <w:rFonts w:ascii="Times New Roman" w:eastAsiaTheme="minorEastAsia" w:hAnsi="Times New Roman" w:cs="Times New Roman"/>
          <w:sz w:val="24"/>
          <w:szCs w:val="24"/>
        </w:rPr>
        <w:endnoteReference w:id="33"/>
      </w:r>
      <w:r>
        <w:rPr>
          <w:rFonts w:ascii="Times New Roman" w:eastAsiaTheme="minorEastAsia" w:hAnsi="Times New Roman" w:cs="Times New Roman"/>
          <w:sz w:val="24"/>
          <w:szCs w:val="24"/>
        </w:rPr>
        <w:t xml:space="preserve">. Pulmonary function test involves noninvasive assessment of a patient's respiratory system, and RTs play a vital role in the case of this test because of the expertise in the respiratory systems, </w:t>
      </w:r>
      <w:r>
        <w:rPr>
          <w:rFonts w:ascii="Times New Roman" w:eastAsiaTheme="minorEastAsia" w:hAnsi="Times New Roman" w:cs="Times New Roman"/>
          <w:sz w:val="24"/>
          <w:szCs w:val="24"/>
        </w:rPr>
        <w:lastRenderedPageBreak/>
        <w:t>particularly the lungs vis-à-vis capacity, volume, airflow rates, and exchange of gas (inhaling and exhaling). The RTs play a key role in collaborating with physicians in the diagnosis of lung diseases and the treatment of some of the conditions affecting the lungs</w:t>
      </w:r>
      <w:r>
        <w:rPr>
          <w:rStyle w:val="EndnoteReference"/>
          <w:rFonts w:ascii="Times New Roman" w:eastAsiaTheme="minorEastAsia" w:hAnsi="Times New Roman" w:cs="Times New Roman"/>
          <w:sz w:val="24"/>
          <w:szCs w:val="24"/>
        </w:rPr>
        <w:endnoteReference w:id="34"/>
      </w:r>
      <w:r>
        <w:rPr>
          <w:rFonts w:ascii="Times New Roman" w:eastAsiaTheme="minorEastAsia" w:hAnsi="Times New Roman" w:cs="Times New Roman"/>
          <w:sz w:val="24"/>
          <w:szCs w:val="24"/>
        </w:rPr>
        <w:t>. Hiring RTs in the KSA hospitals will also be essential in sleep lap, dealing with sleep disorders involving breathing difficulties. The problems in breathing are diagnosed when the patients are asleep, and an RT determines the conditions such as obstructive sleep apnea after studying the breathing trends through polysomnography</w:t>
      </w:r>
      <w:r>
        <w:rPr>
          <w:rStyle w:val="EndnoteReference"/>
          <w:rFonts w:ascii="Times New Roman" w:eastAsiaTheme="minorEastAsia" w:hAnsi="Times New Roman" w:cs="Times New Roman"/>
          <w:sz w:val="24"/>
          <w:szCs w:val="24"/>
        </w:rPr>
        <w:endnoteReference w:id="35"/>
      </w:r>
      <w:r>
        <w:rPr>
          <w:rFonts w:ascii="Times New Roman" w:eastAsiaTheme="minorEastAsia" w:hAnsi="Times New Roman" w:cs="Times New Roman"/>
          <w:sz w:val="24"/>
          <w:szCs w:val="24"/>
        </w:rPr>
        <w:t>. Home care RTs provide respiratory therapy services through the residential, community, and palliative care to improve the quality of life through reduction of morbidity, as well as self-management and facilitating independence. Therefore, for individuals with chronic respiratory conditions, RTs provide home care intending to eliminate the costs of hospital stay and minimization of acute care hospital admissions</w:t>
      </w:r>
      <w:r>
        <w:rPr>
          <w:rStyle w:val="EndnoteReference"/>
          <w:rFonts w:ascii="Times New Roman" w:eastAsiaTheme="minorEastAsia" w:hAnsi="Times New Roman" w:cs="Times New Roman"/>
          <w:sz w:val="24"/>
          <w:szCs w:val="24"/>
        </w:rPr>
        <w:endnoteReference w:id="36"/>
      </w:r>
      <w:r>
        <w:rPr>
          <w:rFonts w:ascii="Times New Roman" w:eastAsiaTheme="minorEastAsia" w:hAnsi="Times New Roman" w:cs="Times New Roman"/>
          <w:sz w:val="24"/>
          <w:szCs w:val="24"/>
        </w:rPr>
        <w:t>. Pulmonary rehabilitation is also another area where RTs play a vital role through the identification of the eligible patients, patient assessment before being admitted into the program, educating the patients about the pulmonary disease, and active participation in physical exercise programs of patients with chronic lung diseases</w:t>
      </w:r>
      <w:r>
        <w:rPr>
          <w:rStyle w:val="EndnoteReference"/>
          <w:rFonts w:ascii="Times New Roman" w:eastAsiaTheme="minorEastAsia" w:hAnsi="Times New Roman" w:cs="Times New Roman"/>
          <w:sz w:val="24"/>
          <w:szCs w:val="24"/>
        </w:rPr>
        <w:endnoteReference w:id="37"/>
      </w:r>
      <w:r>
        <w:rPr>
          <w:rFonts w:ascii="Times New Roman" w:eastAsiaTheme="minorEastAsia" w:hAnsi="Times New Roman" w:cs="Times New Roman"/>
          <w:sz w:val="24"/>
          <w:szCs w:val="24"/>
        </w:rPr>
        <w:t xml:space="preserve">. Therefore, the hiring of RTs in KSA will be useful in increasing the accessibility of healthcare services, as mentioned earlier for Saudis.  </w:t>
      </w:r>
    </w:p>
    <w:p w14:paraId="0035992B" w14:textId="77777777" w:rsidR="005842E4" w:rsidRPr="008A067E" w:rsidRDefault="005842E4" w:rsidP="008A067E">
      <w:pPr>
        <w:pStyle w:val="Heading1"/>
        <w:numPr>
          <w:ilvl w:val="0"/>
          <w:numId w:val="2"/>
        </w:numPr>
        <w:spacing w:line="360" w:lineRule="auto"/>
        <w:jc w:val="both"/>
        <w:rPr>
          <w:rFonts w:ascii="Times New Roman" w:hAnsi="Times New Roman" w:cs="Times New Roman"/>
          <w:b/>
          <w:bCs/>
          <w:color w:val="000000" w:themeColor="text1"/>
          <w:sz w:val="24"/>
          <w:szCs w:val="24"/>
        </w:rPr>
      </w:pPr>
      <w:bookmarkStart w:id="6" w:name="_Toc40722483"/>
      <w:r w:rsidRPr="008A067E">
        <w:rPr>
          <w:rFonts w:ascii="Times New Roman" w:hAnsi="Times New Roman" w:cs="Times New Roman"/>
          <w:b/>
          <w:bCs/>
          <w:color w:val="000000" w:themeColor="text1"/>
          <w:sz w:val="24"/>
          <w:szCs w:val="24"/>
        </w:rPr>
        <w:t>Telford Staffing Methodology</w:t>
      </w:r>
      <w:bookmarkEnd w:id="6"/>
      <w:r w:rsidRPr="008A067E">
        <w:rPr>
          <w:rFonts w:ascii="Times New Roman" w:hAnsi="Times New Roman" w:cs="Times New Roman"/>
          <w:b/>
          <w:bCs/>
          <w:color w:val="000000" w:themeColor="text1"/>
          <w:sz w:val="24"/>
          <w:szCs w:val="24"/>
        </w:rPr>
        <w:t xml:space="preserve"> </w:t>
      </w:r>
    </w:p>
    <w:p w14:paraId="2341C138" w14:textId="77777777" w:rsidR="005842E4" w:rsidRDefault="005842E4" w:rsidP="006E34B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With the RTs hired on a full-time basis in the hospitals in KSA, the Telford model's specification for Saudi Arabia is 48 hours per week, and the RTs will be working in 2 shifts of duty each one is 12 hours every day. Table 1 indicates that in a day, the number of RTs needed in a hospital in Riyadh province (for instance), there will be a total of 48 hours per week where the RTs will work for 12-hour shifts each day. Commonly referred to as professional judgement model, Telford model is common in the United Kingdom, because of its low costs and simplicity, where it is applied in terms of bottom-up and top-down approaches</w:t>
      </w:r>
      <w:r>
        <w:rPr>
          <w:rStyle w:val="EndnoteReference"/>
          <w:rFonts w:ascii="Times New Roman" w:hAnsi="Times New Roman" w:cs="Times New Roman"/>
          <w:sz w:val="24"/>
          <w:szCs w:val="24"/>
        </w:rPr>
        <w:endnoteReference w:id="38"/>
      </w:r>
      <w:r>
        <w:rPr>
          <w:rFonts w:ascii="Times New Roman" w:hAnsi="Times New Roman" w:cs="Times New Roman"/>
          <w:sz w:val="24"/>
          <w:szCs w:val="24"/>
        </w:rPr>
        <w:t xml:space="preserve">. The </w:t>
      </w:r>
      <w:proofErr w:type="spellStart"/>
      <w:r>
        <w:rPr>
          <w:rFonts w:ascii="Times New Roman" w:hAnsi="Times New Roman" w:cs="Times New Roman"/>
          <w:sz w:val="24"/>
          <w:szCs w:val="24"/>
        </w:rPr>
        <w:t>Shrewbury</w:t>
      </w:r>
      <w:proofErr w:type="spellEnd"/>
      <w:r>
        <w:rPr>
          <w:rFonts w:ascii="Times New Roman" w:hAnsi="Times New Roman" w:cs="Times New Roman"/>
          <w:sz w:val="24"/>
          <w:szCs w:val="24"/>
        </w:rPr>
        <w:t xml:space="preserve"> and Telford Hospital applies the Telford model in ensuring safe staffing levels in all the wards, including the general floor and ICU, as included in the safe staffing data in monthly staffing data the 2016-2020 period</w:t>
      </w:r>
      <w:r>
        <w:rPr>
          <w:rStyle w:val="EndnoteReference"/>
          <w:rFonts w:ascii="Times New Roman" w:hAnsi="Times New Roman" w:cs="Times New Roman"/>
          <w:sz w:val="24"/>
          <w:szCs w:val="24"/>
        </w:rPr>
        <w:endnoteReference w:id="39"/>
      </w:r>
      <w:r>
        <w:rPr>
          <w:rFonts w:ascii="Times New Roman" w:hAnsi="Times New Roman" w:cs="Times New Roman"/>
          <w:sz w:val="24"/>
          <w:szCs w:val="24"/>
        </w:rPr>
        <w:t xml:space="preserve">. The success of the Telford staffing model’s application in the hospital in the United Kingdom is enough reason for its application in the case of respiratory therapists safe staffing in all the hospitals in the Kingdom of Saudi Arabia. </w:t>
      </w:r>
    </w:p>
    <w:p w14:paraId="2C9E3679" w14:textId="77777777" w:rsidR="005842E4" w:rsidRDefault="005842E4" w:rsidP="006E34B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formula of the Telford method</w:t>
      </w:r>
      <w:r>
        <w:rPr>
          <w:rStyle w:val="EndnoteReference"/>
          <w:rFonts w:ascii="Times New Roman" w:hAnsi="Times New Roman" w:cs="Times New Roman"/>
          <w:sz w:val="24"/>
          <w:szCs w:val="24"/>
        </w:rPr>
        <w:endnoteReference w:id="40"/>
      </w:r>
      <w:r>
        <w:rPr>
          <w:rFonts w:ascii="Times New Roman" w:hAnsi="Times New Roman" w:cs="Times New Roman"/>
          <w:sz w:val="24"/>
          <w:szCs w:val="24"/>
        </w:rPr>
        <w:t>, which will be used in the RT staffing plan in KSA is:</w:t>
      </w:r>
    </w:p>
    <w:p w14:paraId="4C9C7980" w14:textId="77777777" w:rsidR="005842E4" w:rsidRDefault="00E90B67" w:rsidP="006E34BB">
      <w:pPr>
        <w:spacing w:after="0" w:line="360" w:lineRule="auto"/>
        <w:jc w:val="both"/>
        <w:rPr>
          <w:rFonts w:ascii="Times New Roman" w:eastAsiaTheme="minorEastAsia" w:hAnsi="Times New Roman" w:cs="Times New Roman"/>
          <w:sz w:val="24"/>
          <w:szCs w:val="24"/>
        </w:rPr>
      </w:pPr>
      <m:oMathPara>
        <m:oMath>
          <m:f>
            <m:fPr>
              <m:ctrlPr>
                <w:rPr>
                  <w:rFonts w:ascii="Cambria Math" w:hAnsi="Cambria Math" w:cs="Times New Roman"/>
                  <w:i/>
                </w:rPr>
              </m:ctrlPr>
            </m:fPr>
            <m:num>
              <m:r>
                <w:rPr>
                  <w:rFonts w:ascii="Cambria Math" w:hAnsi="Cambria Math" w:cs="Times New Roman"/>
                </w:rPr>
                <m:t xml:space="preserve">The number of RTs in 24 </m:t>
              </m:r>
              <m:r>
                <w:rPr>
                  <w:rFonts w:ascii="Cambria Math" w:hAnsi="Cambria Math" w:cs="Times New Roman"/>
                </w:rPr>
                <m:t>hrs</m:t>
              </m:r>
              <m:d>
                <m:dPr>
                  <m:ctrlPr>
                    <w:rPr>
                      <w:rFonts w:ascii="Cambria Math" w:hAnsi="Cambria Math" w:cs="Times New Roman"/>
                      <w:i/>
                    </w:rPr>
                  </m:ctrlPr>
                </m:dPr>
                <m:e>
                  <m:r>
                    <w:rPr>
                      <w:rFonts w:ascii="Cambria Math" w:hAnsi="Cambria Math" w:cs="Times New Roman"/>
                    </w:rPr>
                    <m:t>ratio in the general floor and ICU</m:t>
                  </m:r>
                </m:e>
              </m:d>
              <m:r>
                <w:rPr>
                  <w:rFonts w:ascii="Cambria Math" w:hAnsi="Cambria Math" w:cs="Times New Roman"/>
                </w:rPr>
                <m:t xml:space="preserve"> x working hours per day x 7 days</m:t>
              </m:r>
            </m:num>
            <m:den>
              <m:r>
                <w:rPr>
                  <w:rFonts w:ascii="Cambria Math" w:hAnsi="Cambria Math" w:cs="Times New Roman"/>
                </w:rPr>
                <m:t>Sum of the working hours in a week</m:t>
              </m:r>
            </m:den>
          </m:f>
        </m:oMath>
      </m:oMathPara>
    </w:p>
    <w:p w14:paraId="2CFCA32C" w14:textId="77777777" w:rsidR="005842E4" w:rsidRPr="008A067E" w:rsidRDefault="005842E4" w:rsidP="008A067E">
      <w:pPr>
        <w:pStyle w:val="Heading2"/>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7" w:name="_Toc40722484"/>
      <w:r w:rsidRPr="008A067E">
        <w:rPr>
          <w:rFonts w:ascii="Times New Roman" w:eastAsiaTheme="minorEastAsia" w:hAnsi="Times New Roman" w:cs="Times New Roman"/>
          <w:b/>
          <w:bCs/>
          <w:color w:val="000000" w:themeColor="text1"/>
          <w:sz w:val="24"/>
          <w:szCs w:val="24"/>
        </w:rPr>
        <w:lastRenderedPageBreak/>
        <w:t>Staffing Plan</w:t>
      </w:r>
      <w:bookmarkEnd w:id="7"/>
    </w:p>
    <w:p w14:paraId="730C9530" w14:textId="77777777" w:rsidR="005842E4" w:rsidRDefault="005842E4" w:rsidP="006E34BB">
      <w:pPr>
        <w:spacing w:after="0" w:line="360" w:lineRule="auto"/>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The model used revealed the staffing plan for RTs and the minimum working hours that the RT staff will be required to complete in one week. In the case of Riyadh Province (Table 1), data from the Ministry of Health Statistics show that the administrative region has 49 hospitals managed by the MOH, 16 by other government services, and 41 hospitals that are privately owned and operated</w:t>
      </w:r>
      <w:r>
        <w:rPr>
          <w:rStyle w:val="EndnoteReference"/>
          <w:rFonts w:ascii="Times New Roman" w:eastAsiaTheme="minorEastAsia" w:hAnsi="Times New Roman" w:cs="Times New Roman"/>
          <w:sz w:val="24"/>
          <w:szCs w:val="24"/>
        </w:rPr>
        <w:endnoteReference w:id="41"/>
      </w:r>
      <w:r>
        <w:rPr>
          <w:rFonts w:ascii="Times New Roman" w:eastAsiaTheme="minorEastAsia" w:hAnsi="Times New Roman" w:cs="Times New Roman"/>
          <w:sz w:val="24"/>
          <w:szCs w:val="24"/>
        </w:rPr>
        <w:t>. Since the RTs will be working in the general floor and ICU sections of the hospitals in the country, which the total hospitals indicate to have 66,748 (general) and 8,477 (ICU) beds, respectively, the Telford Staffing Model shows that the minimum RTs that will be hired to operate in all the health care facilities in KSA is 21,666 RTs. The working hours according the labor standards in Saudi Arabia are 48 hours per week, except for Muslims who are allowed to work for 36 hours during the month of Ramadhan. In KSA, the determined care hours per week is 48, factoring on the number of hospitals and the general and the minimum ratio for the respiratory therapists to patient is 1:5 for all ICUs</w:t>
      </w:r>
      <w:r>
        <w:rPr>
          <w:rStyle w:val="EndnoteReference"/>
          <w:rFonts w:ascii="Times New Roman" w:eastAsiaTheme="minorEastAsia" w:hAnsi="Times New Roman" w:cs="Times New Roman"/>
          <w:sz w:val="24"/>
          <w:szCs w:val="24"/>
        </w:rPr>
        <w:endnoteReference w:id="42"/>
      </w:r>
      <w:r>
        <w:rPr>
          <w:rFonts w:ascii="Times New Roman" w:eastAsiaTheme="minorEastAsia" w:hAnsi="Times New Roman" w:cs="Times New Roman"/>
          <w:sz w:val="24"/>
          <w:szCs w:val="24"/>
        </w:rPr>
        <w:t>; California Society for Respiratory Care mentioned 1:4 ratio in the ICU, and Alotaibi (2015) mentioned 1:20 ratio for the general floor</w:t>
      </w:r>
      <w:r>
        <w:rPr>
          <w:rFonts w:ascii="Times New Roman" w:hAnsi="Times New Roman" w:cs="Times New Roman"/>
          <w:sz w:val="24"/>
          <w:szCs w:val="24"/>
        </w:rPr>
        <w:t>.</w:t>
      </w:r>
      <w:r>
        <w:rPr>
          <w:rFonts w:ascii="Times New Roman" w:eastAsiaTheme="minorEastAsia" w:hAnsi="Times New Roman" w:cs="Times New Roman"/>
          <w:sz w:val="24"/>
          <w:szCs w:val="24"/>
        </w:rPr>
        <w:t xml:space="preserve"> Hence, there is need for more research on the optimum number of RTs to work on the general floor in hospitals internationally to provide a universal benchmark for staffing of RTs in hospitals across the world. A study by West et al. in 2016 on the respiratory therapists to critical care units of Canadian hospitals indicated a rate of 1:5.1 ratio as a baseline that has informed research on respiratory care as well as RT practice and staffing patterns in adult critical care settings</w:t>
      </w:r>
      <w:r>
        <w:rPr>
          <w:rStyle w:val="EndnoteReference"/>
          <w:rFonts w:ascii="Times New Roman" w:eastAsiaTheme="minorEastAsia" w:hAnsi="Times New Roman" w:cs="Times New Roman"/>
          <w:sz w:val="24"/>
          <w:szCs w:val="24"/>
        </w:rPr>
        <w:endnoteReference w:id="43"/>
      </w:r>
      <w:r>
        <w:rPr>
          <w:rFonts w:ascii="Times New Roman" w:eastAsiaTheme="minorEastAsia" w:hAnsi="Times New Roman" w:cs="Times New Roman"/>
          <w:sz w:val="24"/>
          <w:szCs w:val="24"/>
        </w:rPr>
        <w:t xml:space="preserve">. </w:t>
      </w:r>
      <w:r>
        <w:rPr>
          <w:rFonts w:ascii="Times New Roman" w:eastAsiaTheme="minorEastAsia" w:hAnsi="Times New Roman" w:cs="Times New Roman"/>
          <w:color w:val="000000" w:themeColor="text1"/>
          <w:sz w:val="24"/>
          <w:szCs w:val="24"/>
        </w:rPr>
        <w:t xml:space="preserve">Thus, 1:20 will be used for MOH, private, and non-MOH for general floors. </w:t>
      </w:r>
    </w:p>
    <w:p w14:paraId="44C45A35" w14:textId="77777777" w:rsidR="005842E4" w:rsidRDefault="005842E4" w:rsidP="006E34BB">
      <w:pPr>
        <w:spacing w:after="0" w:line="360" w:lineRule="auto"/>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color w:val="000000" w:themeColor="text1"/>
          <w:sz w:val="24"/>
          <w:szCs w:val="24"/>
        </w:rPr>
        <w:t>The model’s output on the number of RTs needed in all the provinces is:</w:t>
      </w:r>
    </w:p>
    <w:p w14:paraId="3BC58230"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With a population (sum) of 33.4 million in the 20 medical administrative regions identified in the model, KSA needs 21,666 RTs are required to work in the different hospitals, both the MOH and non -MOH owned health care facilities 24 hours a day (two 12-hour shifts), 7 days a week (48 hours), annually.       </w:t>
      </w:r>
    </w:p>
    <w:p w14:paraId="23204A99"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Using the ratios of 1:20 for the general floor and 1:5 in the ICUs in MOH hospitals across; 1:20 in the general floor and 1:5 in the ICU in non-MOH hospitals; and 1:20 in general floors and 1:5 in ICUs in all private hospitals across KSA, the results of the estimates using the Telford staffing model have been determined. In </w:t>
      </w:r>
      <w:r>
        <w:rPr>
          <w:rFonts w:ascii="Times New Roman" w:eastAsiaTheme="minorEastAsia" w:hAnsi="Times New Roman" w:cs="Times New Roman"/>
          <w:i/>
          <w:iCs/>
          <w:sz w:val="24"/>
          <w:szCs w:val="24"/>
        </w:rPr>
        <w:t>Riyadh</w:t>
      </w:r>
      <w:r>
        <w:rPr>
          <w:rFonts w:ascii="Times New Roman" w:eastAsiaTheme="minorEastAsia" w:hAnsi="Times New Roman" w:cs="Times New Roman"/>
          <w:sz w:val="24"/>
          <w:szCs w:val="24"/>
        </w:rPr>
        <w:t>, the estimated total (general floor and ICU) number of RTs needed is (MOH) 2,506, (non-MOH) 1,478, and (private) 1,452 RTs. The calculation was made through using the Telford model: 1:20 ratio</w:t>
      </w:r>
      <w:r>
        <w:rPr>
          <w:rFonts w:ascii="Times New Roman" w:eastAsiaTheme="minorEastAsia" w:hAnsi="Times New Roman" w:cs="Times New Roman"/>
          <w:i/>
          <w:sz w:val="24"/>
          <w:szCs w:val="24"/>
        </w:rPr>
        <w:t xml:space="preserve"> x</w:t>
      </w:r>
      <w:r>
        <w:rPr>
          <w:rFonts w:ascii="Times New Roman" w:eastAsiaTheme="minorEastAsia" w:hAnsi="Times New Roman" w:cs="Times New Roman"/>
          <w:sz w:val="24"/>
          <w:szCs w:val="24"/>
        </w:rPr>
        <w:t xml:space="preserve"> the beds on the general floor and 1:5 ratios in the ICU beds, where the RTs will be working 2 (12-hour) shifts (24 </w:t>
      </w:r>
      <w:r>
        <w:rPr>
          <w:rFonts w:ascii="Times New Roman" w:eastAsiaTheme="minorEastAsia" w:hAnsi="Times New Roman" w:cs="Times New Roman"/>
          <w:sz w:val="24"/>
          <w:szCs w:val="24"/>
        </w:rPr>
        <w:lastRenderedPageBreak/>
        <w:t>hours) added to 23 percent of the total sum and rounded off to the nearest whole number. In the case of Riyadh general floor beds, both MOH and non-MOH, the calculations</w:t>
      </w:r>
    </w:p>
    <w:p w14:paraId="28DA9D49" w14:textId="77777777" w:rsidR="005842E4" w:rsidRPr="00586971" w:rsidRDefault="005842E4" w:rsidP="006E34BB">
      <w:pPr>
        <w:spacing w:after="0" w:line="360" w:lineRule="auto"/>
        <w:jc w:val="both"/>
        <w:rPr>
          <w:rFonts w:ascii="Times New Roman" w:eastAsiaTheme="minorEastAsia" w:hAnsi="Times New Roman" w:cs="Times New Roman"/>
        </w:rPr>
      </w:pPr>
      <w:r w:rsidRPr="00586971">
        <w:rPr>
          <w:rFonts w:ascii="Times New Roman" w:eastAsiaTheme="minorEastAsia" w:hAnsi="Times New Roman" w:cs="Times New Roman"/>
        </w:rPr>
        <w:t xml:space="preserve">= </w:t>
      </w:r>
      <w:r w:rsidRPr="00586971">
        <w:rPr>
          <w:rFonts w:ascii="Times New Roman" w:eastAsiaTheme="minorEastAsia" w:hAnsi="Times New Roman" w:cs="Times New Roman"/>
          <w:i/>
          <w:iCs/>
        </w:rPr>
        <w:t>0.05 (1:20 ratio) x 2*(12 hours shift in a day x 7 days / 48 (hours in a week)) (A) + 23% of ‘A’</w:t>
      </w:r>
    </w:p>
    <w:p w14:paraId="65D0BADB"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In the case of the ICU, the results are obtained by:  </w:t>
      </w:r>
    </w:p>
    <w:p w14:paraId="139D4C63" w14:textId="77777777" w:rsidR="005842E4" w:rsidRPr="00586971" w:rsidRDefault="005842E4" w:rsidP="006E34BB">
      <w:pPr>
        <w:spacing w:after="0" w:line="360" w:lineRule="auto"/>
        <w:jc w:val="both"/>
        <w:rPr>
          <w:rFonts w:ascii="Times New Roman" w:eastAsiaTheme="minorEastAsia" w:hAnsi="Times New Roman" w:cs="Times New Roman"/>
        </w:rPr>
      </w:pPr>
      <w:r w:rsidRPr="00586971">
        <w:rPr>
          <w:rFonts w:ascii="Times New Roman" w:eastAsiaTheme="minorEastAsia" w:hAnsi="Times New Roman" w:cs="Times New Roman"/>
        </w:rPr>
        <w:t xml:space="preserve">= </w:t>
      </w:r>
      <w:r w:rsidRPr="00586971">
        <w:rPr>
          <w:rFonts w:ascii="Times New Roman" w:eastAsiaTheme="minorEastAsia" w:hAnsi="Times New Roman" w:cs="Times New Roman"/>
          <w:i/>
          <w:iCs/>
        </w:rPr>
        <w:t>0.2 (1:5 ratio) x 2*(12 hours shift in a day x 7 days / 48 (hours in a week)) (A) + 23% of ‘A’</w:t>
      </w:r>
    </w:p>
    <w:p w14:paraId="148829DD"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table below summarizes the estimated number of RTs required in the MOH, non-MOH, and private hospitals in KSA and the total number of RTs that the Telford model indicates as the estimate staffing requirements of RTs in the KSA. The number of non-MOH ICU beds in 2018 were determined in the MOH yearbook statistics as 1,493 beds out of a total of 12,662 beds in the non-MOH hospitals</w:t>
      </w:r>
      <w:r>
        <w:rPr>
          <w:rStyle w:val="EndnoteReference"/>
          <w:rFonts w:ascii="Times New Roman" w:eastAsiaTheme="minorEastAsia" w:hAnsi="Times New Roman" w:cs="Times New Roman"/>
          <w:sz w:val="24"/>
          <w:szCs w:val="24"/>
        </w:rPr>
        <w:endnoteReference w:id="44"/>
      </w:r>
      <w:r>
        <w:rPr>
          <w:rFonts w:ascii="Times New Roman" w:eastAsiaTheme="minorEastAsia" w:hAnsi="Times New Roman" w:cs="Times New Roman"/>
          <w:sz w:val="24"/>
          <w:szCs w:val="24"/>
        </w:rPr>
        <w:t xml:space="preserve">, which indicates that the non-MOH hospitals ICU beds make 11.79 (%) percent of the total beds in non-MOH (other governmental sector) hospitals.  The estimates of the RTs needed are tabulated below: </w:t>
      </w:r>
      <w:r>
        <w:rPr>
          <w:rFonts w:eastAsiaTheme="minorEastAsia"/>
        </w:rPr>
        <w:fldChar w:fldCharType="begin"/>
      </w:r>
      <w:r>
        <w:rPr>
          <w:rFonts w:eastAsiaTheme="minorEastAsia"/>
        </w:rPr>
        <w:instrText xml:space="preserve"> LINK Excel.Sheet.12 "C:\\Users\\Guya\\Desktop\\KSA_Staffing_Plan.xlsx" "KSA RTs!R36C11:R57C14" \a \f 5 \h  \* MERGEFORMAT </w:instrText>
      </w:r>
      <w:r>
        <w:rPr>
          <w:rFonts w:eastAsiaTheme="minorEastAsia"/>
        </w:rPr>
        <w:fldChar w:fldCharType="separate"/>
      </w:r>
    </w:p>
    <w:p w14:paraId="46BACA18" w14:textId="78880FD9" w:rsidR="005842E4" w:rsidRPr="008A067E" w:rsidRDefault="005842E4" w:rsidP="00A51B54">
      <w:pPr>
        <w:pStyle w:val="Caption"/>
        <w:keepNext/>
        <w:spacing w:line="360" w:lineRule="auto"/>
        <w:rPr>
          <w:color w:val="000000" w:themeColor="text1"/>
        </w:rPr>
      </w:pPr>
      <w:r w:rsidRPr="008A067E">
        <w:rPr>
          <w:color w:val="000000" w:themeColor="text1"/>
        </w:rPr>
        <w:t xml:space="preserve">Table </w:t>
      </w:r>
      <w:r w:rsidRPr="008A067E">
        <w:rPr>
          <w:color w:val="000000" w:themeColor="text1"/>
        </w:rPr>
        <w:fldChar w:fldCharType="begin"/>
      </w:r>
      <w:r w:rsidRPr="008A067E">
        <w:rPr>
          <w:color w:val="000000" w:themeColor="text1"/>
        </w:rPr>
        <w:instrText xml:space="preserve"> SEQ Table \* ARABIC </w:instrText>
      </w:r>
      <w:r w:rsidRPr="008A067E">
        <w:rPr>
          <w:color w:val="000000" w:themeColor="text1"/>
        </w:rPr>
        <w:fldChar w:fldCharType="separate"/>
      </w:r>
      <w:r w:rsidRPr="008A067E">
        <w:rPr>
          <w:noProof/>
          <w:color w:val="000000" w:themeColor="text1"/>
        </w:rPr>
        <w:t>2</w:t>
      </w:r>
      <w:r w:rsidRPr="008A067E">
        <w:rPr>
          <w:noProof/>
          <w:color w:val="000000" w:themeColor="text1"/>
        </w:rPr>
        <w:fldChar w:fldCharType="end"/>
      </w:r>
      <w:r w:rsidRPr="008A067E">
        <w:rPr>
          <w:color w:val="000000" w:themeColor="text1"/>
        </w:rPr>
        <w:t>: RTs needed in MOH Hospitals in all the regions in KSA</w:t>
      </w:r>
    </w:p>
    <w:tbl>
      <w:tblPr>
        <w:tblStyle w:val="TableGrid"/>
        <w:tblW w:w="8682" w:type="dxa"/>
        <w:tblInd w:w="0" w:type="dxa"/>
        <w:tblLook w:val="04A0" w:firstRow="1" w:lastRow="0" w:firstColumn="1" w:lastColumn="0" w:noHBand="0" w:noVBand="1"/>
      </w:tblPr>
      <w:tblGrid>
        <w:gridCol w:w="3042"/>
        <w:gridCol w:w="1807"/>
        <w:gridCol w:w="1758"/>
        <w:gridCol w:w="2075"/>
      </w:tblGrid>
      <w:tr w:rsidR="005842E4" w14:paraId="2907C965" w14:textId="77777777" w:rsidTr="00BF2F0C">
        <w:trPr>
          <w:trHeight w:val="751"/>
        </w:trPr>
        <w:tc>
          <w:tcPr>
            <w:tcW w:w="3042" w:type="dxa"/>
            <w:tcBorders>
              <w:top w:val="single" w:sz="4" w:space="0" w:color="auto"/>
              <w:left w:val="single" w:sz="4" w:space="0" w:color="auto"/>
              <w:bottom w:val="single" w:sz="4" w:space="0" w:color="auto"/>
              <w:right w:val="single" w:sz="4" w:space="0" w:color="auto"/>
            </w:tcBorders>
            <w:noWrap/>
            <w:hideMark/>
          </w:tcPr>
          <w:p w14:paraId="06E7C726" w14:textId="77777777" w:rsidR="005842E4" w:rsidRDefault="005842E4" w:rsidP="006E34BB">
            <w:pPr>
              <w:spacing w:after="0" w:line="360" w:lineRule="auto"/>
              <w:jc w:val="both"/>
              <w:rPr>
                <w:rFonts w:eastAsiaTheme="minorEastAsia"/>
                <w:b/>
                <w:sz w:val="18"/>
                <w:szCs w:val="18"/>
              </w:rPr>
            </w:pPr>
            <w:r>
              <w:rPr>
                <w:rFonts w:eastAsiaTheme="minorEastAsia"/>
                <w:b/>
                <w:sz w:val="18"/>
                <w:szCs w:val="18"/>
              </w:rPr>
              <w:t>KSA Medical Administrative Regions</w:t>
            </w:r>
          </w:p>
        </w:tc>
        <w:tc>
          <w:tcPr>
            <w:tcW w:w="1807" w:type="dxa"/>
            <w:tcBorders>
              <w:top w:val="single" w:sz="4" w:space="0" w:color="auto"/>
              <w:left w:val="single" w:sz="4" w:space="0" w:color="auto"/>
              <w:bottom w:val="single" w:sz="4" w:space="0" w:color="auto"/>
              <w:right w:val="single" w:sz="4" w:space="0" w:color="auto"/>
            </w:tcBorders>
            <w:noWrap/>
            <w:hideMark/>
          </w:tcPr>
          <w:p w14:paraId="04CFBAC6" w14:textId="77777777" w:rsidR="005842E4" w:rsidRDefault="005842E4" w:rsidP="006E34BB">
            <w:pPr>
              <w:spacing w:after="0" w:line="360" w:lineRule="auto"/>
              <w:jc w:val="both"/>
              <w:rPr>
                <w:rFonts w:eastAsiaTheme="minorEastAsia"/>
                <w:b/>
                <w:sz w:val="18"/>
                <w:szCs w:val="18"/>
              </w:rPr>
            </w:pPr>
            <w:r>
              <w:rPr>
                <w:rFonts w:eastAsiaTheme="minorEastAsia"/>
                <w:b/>
                <w:sz w:val="18"/>
                <w:szCs w:val="18"/>
              </w:rPr>
              <w:t>RTs Needed on MOH General Floor</w:t>
            </w:r>
          </w:p>
        </w:tc>
        <w:tc>
          <w:tcPr>
            <w:tcW w:w="1758" w:type="dxa"/>
            <w:tcBorders>
              <w:top w:val="single" w:sz="4" w:space="0" w:color="auto"/>
              <w:left w:val="single" w:sz="4" w:space="0" w:color="auto"/>
              <w:bottom w:val="single" w:sz="4" w:space="0" w:color="auto"/>
              <w:right w:val="single" w:sz="4" w:space="0" w:color="auto"/>
            </w:tcBorders>
            <w:noWrap/>
            <w:hideMark/>
          </w:tcPr>
          <w:p w14:paraId="303CF9B9" w14:textId="77777777" w:rsidR="005842E4" w:rsidRDefault="005842E4" w:rsidP="006E34BB">
            <w:pPr>
              <w:spacing w:after="0" w:line="360" w:lineRule="auto"/>
              <w:jc w:val="both"/>
              <w:rPr>
                <w:rFonts w:eastAsiaTheme="minorEastAsia"/>
                <w:b/>
                <w:sz w:val="18"/>
                <w:szCs w:val="18"/>
              </w:rPr>
            </w:pPr>
            <w:r>
              <w:rPr>
                <w:rFonts w:eastAsiaTheme="minorEastAsia"/>
                <w:b/>
                <w:sz w:val="18"/>
                <w:szCs w:val="18"/>
              </w:rPr>
              <w:t>RTs Needed on MOH-ICU Beds</w:t>
            </w:r>
          </w:p>
        </w:tc>
        <w:tc>
          <w:tcPr>
            <w:tcW w:w="2075" w:type="dxa"/>
            <w:tcBorders>
              <w:top w:val="single" w:sz="4" w:space="0" w:color="auto"/>
              <w:left w:val="single" w:sz="4" w:space="0" w:color="auto"/>
              <w:bottom w:val="single" w:sz="4" w:space="0" w:color="auto"/>
              <w:right w:val="single" w:sz="4" w:space="0" w:color="auto"/>
            </w:tcBorders>
            <w:noWrap/>
            <w:hideMark/>
          </w:tcPr>
          <w:p w14:paraId="2E450619" w14:textId="77777777" w:rsidR="005842E4" w:rsidRDefault="005842E4" w:rsidP="006E34BB">
            <w:pPr>
              <w:spacing w:after="0" w:line="360" w:lineRule="auto"/>
              <w:jc w:val="both"/>
              <w:rPr>
                <w:rFonts w:eastAsiaTheme="minorEastAsia"/>
                <w:b/>
                <w:sz w:val="18"/>
                <w:szCs w:val="18"/>
              </w:rPr>
            </w:pPr>
            <w:r>
              <w:rPr>
                <w:rFonts w:eastAsiaTheme="minorEastAsia"/>
                <w:b/>
                <w:sz w:val="18"/>
                <w:szCs w:val="18"/>
              </w:rPr>
              <w:t>Total RTs Needed in MOH Hospitals</w:t>
            </w:r>
          </w:p>
        </w:tc>
      </w:tr>
      <w:tr w:rsidR="005842E4" w14:paraId="053B0D68" w14:textId="77777777" w:rsidTr="00BF2F0C">
        <w:trPr>
          <w:trHeight w:val="311"/>
        </w:trPr>
        <w:tc>
          <w:tcPr>
            <w:tcW w:w="3042" w:type="dxa"/>
            <w:tcBorders>
              <w:top w:val="single" w:sz="4" w:space="0" w:color="auto"/>
              <w:left w:val="single" w:sz="4" w:space="0" w:color="auto"/>
              <w:bottom w:val="single" w:sz="4" w:space="0" w:color="auto"/>
              <w:right w:val="single" w:sz="4" w:space="0" w:color="auto"/>
            </w:tcBorders>
            <w:noWrap/>
            <w:hideMark/>
          </w:tcPr>
          <w:p w14:paraId="2AC5F92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Riyadh</w:t>
            </w:r>
          </w:p>
        </w:tc>
        <w:tc>
          <w:tcPr>
            <w:tcW w:w="1807" w:type="dxa"/>
            <w:tcBorders>
              <w:top w:val="single" w:sz="4" w:space="0" w:color="auto"/>
              <w:left w:val="single" w:sz="4" w:space="0" w:color="auto"/>
              <w:bottom w:val="single" w:sz="4" w:space="0" w:color="auto"/>
              <w:right w:val="single" w:sz="4" w:space="0" w:color="auto"/>
            </w:tcBorders>
            <w:noWrap/>
            <w:hideMark/>
          </w:tcPr>
          <w:p w14:paraId="07F39E91"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1557</w:t>
            </w:r>
          </w:p>
        </w:tc>
        <w:tc>
          <w:tcPr>
            <w:tcW w:w="1758" w:type="dxa"/>
            <w:tcBorders>
              <w:top w:val="single" w:sz="4" w:space="0" w:color="auto"/>
              <w:left w:val="single" w:sz="4" w:space="0" w:color="auto"/>
              <w:bottom w:val="single" w:sz="4" w:space="0" w:color="auto"/>
              <w:right w:val="single" w:sz="4" w:space="0" w:color="auto"/>
            </w:tcBorders>
            <w:noWrap/>
            <w:hideMark/>
          </w:tcPr>
          <w:p w14:paraId="2816D4E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949</w:t>
            </w:r>
          </w:p>
        </w:tc>
        <w:tc>
          <w:tcPr>
            <w:tcW w:w="2075" w:type="dxa"/>
            <w:tcBorders>
              <w:top w:val="single" w:sz="4" w:space="0" w:color="auto"/>
              <w:left w:val="single" w:sz="4" w:space="0" w:color="auto"/>
              <w:bottom w:val="single" w:sz="4" w:space="0" w:color="auto"/>
              <w:right w:val="single" w:sz="4" w:space="0" w:color="auto"/>
            </w:tcBorders>
            <w:noWrap/>
            <w:hideMark/>
          </w:tcPr>
          <w:p w14:paraId="0EF26C8D"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2506</w:t>
            </w:r>
          </w:p>
        </w:tc>
      </w:tr>
      <w:tr w:rsidR="005842E4" w14:paraId="70645ED5" w14:textId="77777777" w:rsidTr="00BF2F0C">
        <w:trPr>
          <w:trHeight w:val="297"/>
        </w:trPr>
        <w:tc>
          <w:tcPr>
            <w:tcW w:w="3042" w:type="dxa"/>
            <w:tcBorders>
              <w:top w:val="single" w:sz="4" w:space="0" w:color="auto"/>
              <w:left w:val="single" w:sz="4" w:space="0" w:color="auto"/>
              <w:bottom w:val="single" w:sz="4" w:space="0" w:color="auto"/>
              <w:right w:val="single" w:sz="4" w:space="0" w:color="auto"/>
            </w:tcBorders>
            <w:noWrap/>
            <w:hideMark/>
          </w:tcPr>
          <w:p w14:paraId="457DFA6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 xml:space="preserve">Jeddah </w:t>
            </w:r>
          </w:p>
        </w:tc>
        <w:tc>
          <w:tcPr>
            <w:tcW w:w="1807" w:type="dxa"/>
            <w:tcBorders>
              <w:top w:val="single" w:sz="4" w:space="0" w:color="auto"/>
              <w:left w:val="single" w:sz="4" w:space="0" w:color="auto"/>
              <w:bottom w:val="single" w:sz="4" w:space="0" w:color="auto"/>
              <w:right w:val="single" w:sz="4" w:space="0" w:color="auto"/>
            </w:tcBorders>
            <w:noWrap/>
            <w:hideMark/>
          </w:tcPr>
          <w:p w14:paraId="0CFB9D3B"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578</w:t>
            </w:r>
          </w:p>
        </w:tc>
        <w:tc>
          <w:tcPr>
            <w:tcW w:w="1758" w:type="dxa"/>
            <w:tcBorders>
              <w:top w:val="single" w:sz="4" w:space="0" w:color="auto"/>
              <w:left w:val="single" w:sz="4" w:space="0" w:color="auto"/>
              <w:bottom w:val="single" w:sz="4" w:space="0" w:color="auto"/>
              <w:right w:val="single" w:sz="4" w:space="0" w:color="auto"/>
            </w:tcBorders>
            <w:noWrap/>
            <w:hideMark/>
          </w:tcPr>
          <w:p w14:paraId="2BCB9E2D"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348</w:t>
            </w:r>
          </w:p>
        </w:tc>
        <w:tc>
          <w:tcPr>
            <w:tcW w:w="2075" w:type="dxa"/>
            <w:tcBorders>
              <w:top w:val="single" w:sz="4" w:space="0" w:color="auto"/>
              <w:left w:val="single" w:sz="4" w:space="0" w:color="auto"/>
              <w:bottom w:val="single" w:sz="4" w:space="0" w:color="auto"/>
              <w:right w:val="single" w:sz="4" w:space="0" w:color="auto"/>
            </w:tcBorders>
            <w:noWrap/>
            <w:hideMark/>
          </w:tcPr>
          <w:p w14:paraId="3D7FF199" w14:textId="77777777" w:rsidR="005842E4" w:rsidRDefault="005842E4" w:rsidP="006E34BB">
            <w:pPr>
              <w:spacing w:after="0" w:line="360" w:lineRule="auto"/>
              <w:jc w:val="both"/>
              <w:rPr>
                <w:rFonts w:eastAsiaTheme="minorEastAsia"/>
                <w:sz w:val="18"/>
                <w:szCs w:val="18"/>
              </w:rPr>
            </w:pPr>
            <w:r>
              <w:rPr>
                <w:rFonts w:eastAsiaTheme="minorEastAsia"/>
                <w:sz w:val="18"/>
                <w:szCs w:val="18"/>
              </w:rPr>
              <w:t>926</w:t>
            </w:r>
          </w:p>
        </w:tc>
      </w:tr>
      <w:tr w:rsidR="005842E4" w14:paraId="38781130" w14:textId="77777777" w:rsidTr="00BF2F0C">
        <w:trPr>
          <w:trHeight w:val="297"/>
        </w:trPr>
        <w:tc>
          <w:tcPr>
            <w:tcW w:w="3042" w:type="dxa"/>
            <w:tcBorders>
              <w:top w:val="single" w:sz="4" w:space="0" w:color="auto"/>
              <w:left w:val="single" w:sz="4" w:space="0" w:color="auto"/>
              <w:bottom w:val="single" w:sz="4" w:space="0" w:color="auto"/>
              <w:right w:val="single" w:sz="4" w:space="0" w:color="auto"/>
            </w:tcBorders>
            <w:noWrap/>
            <w:hideMark/>
          </w:tcPr>
          <w:p w14:paraId="559712EE"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Ta'if</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1FBE108D"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516</w:t>
            </w:r>
          </w:p>
        </w:tc>
        <w:tc>
          <w:tcPr>
            <w:tcW w:w="1758" w:type="dxa"/>
            <w:tcBorders>
              <w:top w:val="single" w:sz="4" w:space="0" w:color="auto"/>
              <w:left w:val="single" w:sz="4" w:space="0" w:color="auto"/>
              <w:bottom w:val="single" w:sz="4" w:space="0" w:color="auto"/>
              <w:right w:val="single" w:sz="4" w:space="0" w:color="auto"/>
            </w:tcBorders>
            <w:noWrap/>
            <w:hideMark/>
          </w:tcPr>
          <w:p w14:paraId="598DADC3"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208</w:t>
            </w:r>
          </w:p>
        </w:tc>
        <w:tc>
          <w:tcPr>
            <w:tcW w:w="2075" w:type="dxa"/>
            <w:tcBorders>
              <w:top w:val="single" w:sz="4" w:space="0" w:color="auto"/>
              <w:left w:val="single" w:sz="4" w:space="0" w:color="auto"/>
              <w:bottom w:val="single" w:sz="4" w:space="0" w:color="auto"/>
              <w:right w:val="single" w:sz="4" w:space="0" w:color="auto"/>
            </w:tcBorders>
            <w:noWrap/>
            <w:hideMark/>
          </w:tcPr>
          <w:p w14:paraId="2B50090D" w14:textId="77777777" w:rsidR="005842E4" w:rsidRDefault="005842E4" w:rsidP="006E34BB">
            <w:pPr>
              <w:spacing w:after="0" w:line="360" w:lineRule="auto"/>
              <w:jc w:val="both"/>
              <w:rPr>
                <w:rFonts w:eastAsiaTheme="minorEastAsia"/>
                <w:sz w:val="18"/>
                <w:szCs w:val="18"/>
              </w:rPr>
            </w:pPr>
            <w:r>
              <w:rPr>
                <w:rFonts w:eastAsiaTheme="minorEastAsia"/>
                <w:sz w:val="18"/>
                <w:szCs w:val="18"/>
              </w:rPr>
              <w:t>724</w:t>
            </w:r>
          </w:p>
        </w:tc>
      </w:tr>
      <w:tr w:rsidR="005842E4" w14:paraId="674AA8C8"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713833A1"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Al'Ahsa</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1421957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375</w:t>
            </w:r>
          </w:p>
        </w:tc>
        <w:tc>
          <w:tcPr>
            <w:tcW w:w="1758" w:type="dxa"/>
            <w:tcBorders>
              <w:top w:val="single" w:sz="4" w:space="0" w:color="auto"/>
              <w:left w:val="single" w:sz="4" w:space="0" w:color="auto"/>
              <w:bottom w:val="single" w:sz="4" w:space="0" w:color="auto"/>
              <w:right w:val="single" w:sz="4" w:space="0" w:color="auto"/>
            </w:tcBorders>
            <w:noWrap/>
            <w:hideMark/>
          </w:tcPr>
          <w:p w14:paraId="67708266"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184</w:t>
            </w:r>
          </w:p>
        </w:tc>
        <w:tc>
          <w:tcPr>
            <w:tcW w:w="2075" w:type="dxa"/>
            <w:tcBorders>
              <w:top w:val="single" w:sz="4" w:space="0" w:color="auto"/>
              <w:left w:val="single" w:sz="4" w:space="0" w:color="auto"/>
              <w:bottom w:val="single" w:sz="4" w:space="0" w:color="auto"/>
              <w:right w:val="single" w:sz="4" w:space="0" w:color="auto"/>
            </w:tcBorders>
            <w:noWrap/>
            <w:hideMark/>
          </w:tcPr>
          <w:p w14:paraId="6247606A"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559</w:t>
            </w:r>
          </w:p>
        </w:tc>
      </w:tr>
      <w:tr w:rsidR="005842E4" w14:paraId="180D71DF"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3639FE89"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Hafr</w:t>
            </w:r>
            <w:proofErr w:type="spellEnd"/>
            <w:r>
              <w:rPr>
                <w:rFonts w:eastAsiaTheme="minorEastAsia"/>
                <w:sz w:val="18"/>
                <w:szCs w:val="18"/>
              </w:rPr>
              <w:t xml:space="preserve"> </w:t>
            </w:r>
            <w:proofErr w:type="spellStart"/>
            <w:r>
              <w:rPr>
                <w:rFonts w:eastAsiaTheme="minorEastAsia"/>
                <w:sz w:val="18"/>
                <w:szCs w:val="18"/>
              </w:rPr>
              <w:t>Al'Baten</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69E6AD9A"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194</w:t>
            </w:r>
          </w:p>
        </w:tc>
        <w:tc>
          <w:tcPr>
            <w:tcW w:w="1758" w:type="dxa"/>
            <w:tcBorders>
              <w:top w:val="single" w:sz="4" w:space="0" w:color="auto"/>
              <w:left w:val="single" w:sz="4" w:space="0" w:color="auto"/>
              <w:bottom w:val="single" w:sz="4" w:space="0" w:color="auto"/>
              <w:right w:val="single" w:sz="4" w:space="0" w:color="auto"/>
            </w:tcBorders>
            <w:noWrap/>
            <w:hideMark/>
          </w:tcPr>
          <w:p w14:paraId="519ED2F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87</w:t>
            </w:r>
          </w:p>
        </w:tc>
        <w:tc>
          <w:tcPr>
            <w:tcW w:w="2075" w:type="dxa"/>
            <w:tcBorders>
              <w:top w:val="single" w:sz="4" w:space="0" w:color="auto"/>
              <w:left w:val="single" w:sz="4" w:space="0" w:color="auto"/>
              <w:bottom w:val="single" w:sz="4" w:space="0" w:color="auto"/>
              <w:right w:val="single" w:sz="4" w:space="0" w:color="auto"/>
            </w:tcBorders>
            <w:noWrap/>
            <w:hideMark/>
          </w:tcPr>
          <w:p w14:paraId="5511699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281</w:t>
            </w:r>
          </w:p>
        </w:tc>
      </w:tr>
      <w:tr w:rsidR="005842E4" w14:paraId="6BCC7D3A"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56D63693"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Bishah</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72F898F0"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150</w:t>
            </w:r>
          </w:p>
        </w:tc>
        <w:tc>
          <w:tcPr>
            <w:tcW w:w="1758" w:type="dxa"/>
            <w:tcBorders>
              <w:top w:val="single" w:sz="4" w:space="0" w:color="auto"/>
              <w:left w:val="single" w:sz="4" w:space="0" w:color="auto"/>
              <w:bottom w:val="single" w:sz="4" w:space="0" w:color="auto"/>
              <w:right w:val="single" w:sz="4" w:space="0" w:color="auto"/>
            </w:tcBorders>
            <w:noWrap/>
            <w:hideMark/>
          </w:tcPr>
          <w:p w14:paraId="461032D6" w14:textId="77777777" w:rsidR="005842E4" w:rsidRDefault="005842E4" w:rsidP="006E34BB">
            <w:pPr>
              <w:spacing w:after="0" w:line="360" w:lineRule="auto"/>
              <w:jc w:val="both"/>
              <w:rPr>
                <w:rFonts w:eastAsiaTheme="minorEastAsia"/>
                <w:sz w:val="18"/>
                <w:szCs w:val="18"/>
              </w:rPr>
            </w:pPr>
            <w:r>
              <w:rPr>
                <w:rFonts w:eastAsiaTheme="minorEastAsia"/>
                <w:sz w:val="18"/>
                <w:szCs w:val="18"/>
              </w:rPr>
              <w:t>64</w:t>
            </w:r>
          </w:p>
        </w:tc>
        <w:tc>
          <w:tcPr>
            <w:tcW w:w="2075" w:type="dxa"/>
            <w:tcBorders>
              <w:top w:val="single" w:sz="4" w:space="0" w:color="auto"/>
              <w:left w:val="single" w:sz="4" w:space="0" w:color="auto"/>
              <w:bottom w:val="single" w:sz="4" w:space="0" w:color="auto"/>
              <w:right w:val="single" w:sz="4" w:space="0" w:color="auto"/>
            </w:tcBorders>
            <w:noWrap/>
            <w:hideMark/>
          </w:tcPr>
          <w:p w14:paraId="767B1B1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214</w:t>
            </w:r>
          </w:p>
        </w:tc>
      </w:tr>
      <w:tr w:rsidR="005842E4" w14:paraId="49160F6E"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1EED1BC6"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Qurayyat</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094F3E98" w14:textId="77777777" w:rsidR="005842E4" w:rsidRDefault="005842E4" w:rsidP="006E34BB">
            <w:pPr>
              <w:spacing w:after="0" w:line="360" w:lineRule="auto"/>
              <w:jc w:val="both"/>
              <w:rPr>
                <w:rFonts w:eastAsiaTheme="minorEastAsia"/>
                <w:sz w:val="18"/>
                <w:szCs w:val="18"/>
              </w:rPr>
            </w:pPr>
            <w:r>
              <w:rPr>
                <w:rFonts w:eastAsiaTheme="minorEastAsia"/>
                <w:sz w:val="18"/>
                <w:szCs w:val="18"/>
              </w:rPr>
              <w:t>93</w:t>
            </w:r>
          </w:p>
        </w:tc>
        <w:tc>
          <w:tcPr>
            <w:tcW w:w="1758" w:type="dxa"/>
            <w:tcBorders>
              <w:top w:val="single" w:sz="4" w:space="0" w:color="auto"/>
              <w:left w:val="single" w:sz="4" w:space="0" w:color="auto"/>
              <w:bottom w:val="single" w:sz="4" w:space="0" w:color="auto"/>
              <w:right w:val="single" w:sz="4" w:space="0" w:color="auto"/>
            </w:tcBorders>
            <w:noWrap/>
            <w:hideMark/>
          </w:tcPr>
          <w:p w14:paraId="40210185"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48</w:t>
            </w:r>
          </w:p>
        </w:tc>
        <w:tc>
          <w:tcPr>
            <w:tcW w:w="2075" w:type="dxa"/>
            <w:tcBorders>
              <w:top w:val="single" w:sz="4" w:space="0" w:color="auto"/>
              <w:left w:val="single" w:sz="4" w:space="0" w:color="auto"/>
              <w:bottom w:val="single" w:sz="4" w:space="0" w:color="auto"/>
              <w:right w:val="single" w:sz="4" w:space="0" w:color="auto"/>
            </w:tcBorders>
            <w:noWrap/>
            <w:hideMark/>
          </w:tcPr>
          <w:p w14:paraId="4D441CEA"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141</w:t>
            </w:r>
          </w:p>
        </w:tc>
      </w:tr>
      <w:tr w:rsidR="005842E4" w14:paraId="3D156BF2"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6E5AC14E"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Qunfudah</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2AB6BF1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73</w:t>
            </w:r>
          </w:p>
        </w:tc>
        <w:tc>
          <w:tcPr>
            <w:tcW w:w="1758" w:type="dxa"/>
            <w:tcBorders>
              <w:top w:val="single" w:sz="4" w:space="0" w:color="auto"/>
              <w:left w:val="single" w:sz="4" w:space="0" w:color="auto"/>
              <w:bottom w:val="single" w:sz="4" w:space="0" w:color="auto"/>
              <w:right w:val="single" w:sz="4" w:space="0" w:color="auto"/>
            </w:tcBorders>
            <w:noWrap/>
            <w:hideMark/>
          </w:tcPr>
          <w:p w14:paraId="3FCD31EA"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53</w:t>
            </w:r>
          </w:p>
        </w:tc>
        <w:tc>
          <w:tcPr>
            <w:tcW w:w="2075" w:type="dxa"/>
            <w:tcBorders>
              <w:top w:val="single" w:sz="4" w:space="0" w:color="auto"/>
              <w:left w:val="single" w:sz="4" w:space="0" w:color="auto"/>
              <w:bottom w:val="single" w:sz="4" w:space="0" w:color="auto"/>
              <w:right w:val="single" w:sz="4" w:space="0" w:color="auto"/>
            </w:tcBorders>
            <w:noWrap/>
            <w:hideMark/>
          </w:tcPr>
          <w:p w14:paraId="3E00BB1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126</w:t>
            </w:r>
          </w:p>
        </w:tc>
      </w:tr>
      <w:tr w:rsidR="005842E4" w14:paraId="59C4FCF8"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79DAE48C"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Tabouk</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5D7ED38E"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338</w:t>
            </w:r>
          </w:p>
        </w:tc>
        <w:tc>
          <w:tcPr>
            <w:tcW w:w="1758" w:type="dxa"/>
            <w:tcBorders>
              <w:top w:val="single" w:sz="4" w:space="0" w:color="auto"/>
              <w:left w:val="single" w:sz="4" w:space="0" w:color="auto"/>
              <w:bottom w:val="single" w:sz="4" w:space="0" w:color="auto"/>
              <w:right w:val="single" w:sz="4" w:space="0" w:color="auto"/>
            </w:tcBorders>
            <w:noWrap/>
            <w:hideMark/>
          </w:tcPr>
          <w:p w14:paraId="6586E2C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214</w:t>
            </w:r>
          </w:p>
        </w:tc>
        <w:tc>
          <w:tcPr>
            <w:tcW w:w="2075" w:type="dxa"/>
            <w:tcBorders>
              <w:top w:val="single" w:sz="4" w:space="0" w:color="auto"/>
              <w:left w:val="single" w:sz="4" w:space="0" w:color="auto"/>
              <w:bottom w:val="single" w:sz="4" w:space="0" w:color="auto"/>
              <w:right w:val="single" w:sz="4" w:space="0" w:color="auto"/>
            </w:tcBorders>
            <w:noWrap/>
            <w:hideMark/>
          </w:tcPr>
          <w:p w14:paraId="02B7A1C0"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552</w:t>
            </w:r>
          </w:p>
        </w:tc>
      </w:tr>
      <w:tr w:rsidR="005842E4" w14:paraId="77F7084F"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7529951A" w14:textId="77777777" w:rsidR="005842E4" w:rsidRDefault="005842E4" w:rsidP="006E34BB">
            <w:pPr>
              <w:spacing w:after="0" w:line="360" w:lineRule="auto"/>
              <w:jc w:val="both"/>
              <w:rPr>
                <w:rFonts w:eastAsiaTheme="minorEastAsia"/>
                <w:sz w:val="18"/>
                <w:szCs w:val="18"/>
              </w:rPr>
            </w:pPr>
            <w:r>
              <w:rPr>
                <w:rFonts w:eastAsiaTheme="minorEastAsia"/>
                <w:sz w:val="18"/>
                <w:szCs w:val="18"/>
              </w:rPr>
              <w:t>Al Madinah</w:t>
            </w:r>
          </w:p>
        </w:tc>
        <w:tc>
          <w:tcPr>
            <w:tcW w:w="1807" w:type="dxa"/>
            <w:tcBorders>
              <w:top w:val="single" w:sz="4" w:space="0" w:color="auto"/>
              <w:left w:val="single" w:sz="4" w:space="0" w:color="auto"/>
              <w:bottom w:val="single" w:sz="4" w:space="0" w:color="auto"/>
              <w:right w:val="single" w:sz="4" w:space="0" w:color="auto"/>
            </w:tcBorders>
            <w:noWrap/>
            <w:hideMark/>
          </w:tcPr>
          <w:p w14:paraId="574A0393"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499</w:t>
            </w:r>
          </w:p>
        </w:tc>
        <w:tc>
          <w:tcPr>
            <w:tcW w:w="1758" w:type="dxa"/>
            <w:tcBorders>
              <w:top w:val="single" w:sz="4" w:space="0" w:color="auto"/>
              <w:left w:val="single" w:sz="4" w:space="0" w:color="auto"/>
              <w:bottom w:val="single" w:sz="4" w:space="0" w:color="auto"/>
              <w:right w:val="single" w:sz="4" w:space="0" w:color="auto"/>
            </w:tcBorders>
            <w:noWrap/>
            <w:hideMark/>
          </w:tcPr>
          <w:p w14:paraId="4D78056E"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386</w:t>
            </w:r>
          </w:p>
        </w:tc>
        <w:tc>
          <w:tcPr>
            <w:tcW w:w="2075" w:type="dxa"/>
            <w:tcBorders>
              <w:top w:val="single" w:sz="4" w:space="0" w:color="auto"/>
              <w:left w:val="single" w:sz="4" w:space="0" w:color="auto"/>
              <w:bottom w:val="single" w:sz="4" w:space="0" w:color="auto"/>
              <w:right w:val="single" w:sz="4" w:space="0" w:color="auto"/>
            </w:tcBorders>
            <w:noWrap/>
            <w:hideMark/>
          </w:tcPr>
          <w:p w14:paraId="10751D70"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885</w:t>
            </w:r>
          </w:p>
        </w:tc>
      </w:tr>
      <w:tr w:rsidR="005842E4" w14:paraId="62298F08"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5B06A87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Makkah</w:t>
            </w:r>
          </w:p>
        </w:tc>
        <w:tc>
          <w:tcPr>
            <w:tcW w:w="1807" w:type="dxa"/>
            <w:tcBorders>
              <w:top w:val="single" w:sz="4" w:space="0" w:color="auto"/>
              <w:left w:val="single" w:sz="4" w:space="0" w:color="auto"/>
              <w:bottom w:val="single" w:sz="4" w:space="0" w:color="auto"/>
              <w:right w:val="single" w:sz="4" w:space="0" w:color="auto"/>
            </w:tcBorders>
            <w:noWrap/>
            <w:hideMark/>
          </w:tcPr>
          <w:p w14:paraId="297AFC43"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488</w:t>
            </w:r>
          </w:p>
        </w:tc>
        <w:tc>
          <w:tcPr>
            <w:tcW w:w="1758" w:type="dxa"/>
            <w:tcBorders>
              <w:top w:val="single" w:sz="4" w:space="0" w:color="auto"/>
              <w:left w:val="single" w:sz="4" w:space="0" w:color="auto"/>
              <w:bottom w:val="single" w:sz="4" w:space="0" w:color="auto"/>
              <w:right w:val="single" w:sz="4" w:space="0" w:color="auto"/>
            </w:tcBorders>
            <w:noWrap/>
            <w:hideMark/>
          </w:tcPr>
          <w:p w14:paraId="6E2C4DE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369</w:t>
            </w:r>
          </w:p>
        </w:tc>
        <w:tc>
          <w:tcPr>
            <w:tcW w:w="2075" w:type="dxa"/>
            <w:tcBorders>
              <w:top w:val="single" w:sz="4" w:space="0" w:color="auto"/>
              <w:left w:val="single" w:sz="4" w:space="0" w:color="auto"/>
              <w:bottom w:val="single" w:sz="4" w:space="0" w:color="auto"/>
              <w:right w:val="single" w:sz="4" w:space="0" w:color="auto"/>
            </w:tcBorders>
            <w:noWrap/>
            <w:hideMark/>
          </w:tcPr>
          <w:p w14:paraId="34B6C17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857</w:t>
            </w:r>
          </w:p>
        </w:tc>
      </w:tr>
      <w:tr w:rsidR="005842E4" w14:paraId="46E76DFD"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6F610FB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Eastern Province</w:t>
            </w:r>
          </w:p>
        </w:tc>
        <w:tc>
          <w:tcPr>
            <w:tcW w:w="1807" w:type="dxa"/>
            <w:tcBorders>
              <w:top w:val="single" w:sz="4" w:space="0" w:color="auto"/>
              <w:left w:val="single" w:sz="4" w:space="0" w:color="auto"/>
              <w:bottom w:val="single" w:sz="4" w:space="0" w:color="auto"/>
              <w:right w:val="single" w:sz="4" w:space="0" w:color="auto"/>
            </w:tcBorders>
            <w:noWrap/>
            <w:hideMark/>
          </w:tcPr>
          <w:p w14:paraId="79A4588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666</w:t>
            </w:r>
          </w:p>
        </w:tc>
        <w:tc>
          <w:tcPr>
            <w:tcW w:w="1758" w:type="dxa"/>
            <w:tcBorders>
              <w:top w:val="single" w:sz="4" w:space="0" w:color="auto"/>
              <w:left w:val="single" w:sz="4" w:space="0" w:color="auto"/>
              <w:bottom w:val="single" w:sz="4" w:space="0" w:color="auto"/>
              <w:right w:val="single" w:sz="4" w:space="0" w:color="auto"/>
            </w:tcBorders>
            <w:noWrap/>
            <w:hideMark/>
          </w:tcPr>
          <w:p w14:paraId="30E477A0"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226</w:t>
            </w:r>
          </w:p>
        </w:tc>
        <w:tc>
          <w:tcPr>
            <w:tcW w:w="2075" w:type="dxa"/>
            <w:tcBorders>
              <w:top w:val="single" w:sz="4" w:space="0" w:color="auto"/>
              <w:left w:val="single" w:sz="4" w:space="0" w:color="auto"/>
              <w:bottom w:val="single" w:sz="4" w:space="0" w:color="auto"/>
              <w:right w:val="single" w:sz="4" w:space="0" w:color="auto"/>
            </w:tcBorders>
            <w:noWrap/>
            <w:hideMark/>
          </w:tcPr>
          <w:p w14:paraId="47CE0D7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892</w:t>
            </w:r>
          </w:p>
        </w:tc>
      </w:tr>
      <w:tr w:rsidR="005842E4" w14:paraId="17CF2B48"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377361F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Al-Qassim</w:t>
            </w:r>
          </w:p>
        </w:tc>
        <w:tc>
          <w:tcPr>
            <w:tcW w:w="1807" w:type="dxa"/>
            <w:tcBorders>
              <w:top w:val="single" w:sz="4" w:space="0" w:color="auto"/>
              <w:left w:val="single" w:sz="4" w:space="0" w:color="auto"/>
              <w:bottom w:val="single" w:sz="4" w:space="0" w:color="auto"/>
              <w:right w:val="single" w:sz="4" w:space="0" w:color="auto"/>
            </w:tcBorders>
            <w:noWrap/>
            <w:hideMark/>
          </w:tcPr>
          <w:p w14:paraId="60833A5E"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542</w:t>
            </w:r>
          </w:p>
        </w:tc>
        <w:tc>
          <w:tcPr>
            <w:tcW w:w="1758" w:type="dxa"/>
            <w:tcBorders>
              <w:top w:val="single" w:sz="4" w:space="0" w:color="auto"/>
              <w:left w:val="single" w:sz="4" w:space="0" w:color="auto"/>
              <w:bottom w:val="single" w:sz="4" w:space="0" w:color="auto"/>
              <w:right w:val="single" w:sz="4" w:space="0" w:color="auto"/>
            </w:tcBorders>
            <w:noWrap/>
            <w:hideMark/>
          </w:tcPr>
          <w:p w14:paraId="256313F9"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294</w:t>
            </w:r>
          </w:p>
        </w:tc>
        <w:tc>
          <w:tcPr>
            <w:tcW w:w="2075" w:type="dxa"/>
            <w:tcBorders>
              <w:top w:val="single" w:sz="4" w:space="0" w:color="auto"/>
              <w:left w:val="single" w:sz="4" w:space="0" w:color="auto"/>
              <w:bottom w:val="single" w:sz="4" w:space="0" w:color="auto"/>
              <w:right w:val="single" w:sz="4" w:space="0" w:color="auto"/>
            </w:tcBorders>
            <w:noWrap/>
            <w:hideMark/>
          </w:tcPr>
          <w:p w14:paraId="6501F98B"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836</w:t>
            </w:r>
          </w:p>
        </w:tc>
      </w:tr>
      <w:tr w:rsidR="005842E4" w14:paraId="5E510000"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01BC1E36"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Bahah</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28DFA1C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230</w:t>
            </w:r>
          </w:p>
        </w:tc>
        <w:tc>
          <w:tcPr>
            <w:tcW w:w="1758" w:type="dxa"/>
            <w:tcBorders>
              <w:top w:val="single" w:sz="4" w:space="0" w:color="auto"/>
              <w:left w:val="single" w:sz="4" w:space="0" w:color="auto"/>
              <w:bottom w:val="single" w:sz="4" w:space="0" w:color="auto"/>
              <w:right w:val="single" w:sz="4" w:space="0" w:color="auto"/>
            </w:tcBorders>
            <w:noWrap/>
            <w:hideMark/>
          </w:tcPr>
          <w:p w14:paraId="264F51C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84</w:t>
            </w:r>
          </w:p>
        </w:tc>
        <w:tc>
          <w:tcPr>
            <w:tcW w:w="2075" w:type="dxa"/>
            <w:tcBorders>
              <w:top w:val="single" w:sz="4" w:space="0" w:color="auto"/>
              <w:left w:val="single" w:sz="4" w:space="0" w:color="auto"/>
              <w:bottom w:val="single" w:sz="4" w:space="0" w:color="auto"/>
              <w:right w:val="single" w:sz="4" w:space="0" w:color="auto"/>
            </w:tcBorders>
            <w:noWrap/>
            <w:hideMark/>
          </w:tcPr>
          <w:p w14:paraId="4C010606"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314</w:t>
            </w:r>
          </w:p>
        </w:tc>
      </w:tr>
      <w:tr w:rsidR="005842E4" w14:paraId="0958B52F"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6479E873"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Ha'il</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33D7658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352</w:t>
            </w:r>
          </w:p>
        </w:tc>
        <w:tc>
          <w:tcPr>
            <w:tcW w:w="1758" w:type="dxa"/>
            <w:tcBorders>
              <w:top w:val="single" w:sz="4" w:space="0" w:color="auto"/>
              <w:left w:val="single" w:sz="4" w:space="0" w:color="auto"/>
              <w:bottom w:val="single" w:sz="4" w:space="0" w:color="auto"/>
              <w:right w:val="single" w:sz="4" w:space="0" w:color="auto"/>
            </w:tcBorders>
            <w:noWrap/>
            <w:hideMark/>
          </w:tcPr>
          <w:p w14:paraId="695FFA5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133</w:t>
            </w:r>
          </w:p>
        </w:tc>
        <w:tc>
          <w:tcPr>
            <w:tcW w:w="2075" w:type="dxa"/>
            <w:tcBorders>
              <w:top w:val="single" w:sz="4" w:space="0" w:color="auto"/>
              <w:left w:val="single" w:sz="4" w:space="0" w:color="auto"/>
              <w:bottom w:val="single" w:sz="4" w:space="0" w:color="auto"/>
              <w:right w:val="single" w:sz="4" w:space="0" w:color="auto"/>
            </w:tcBorders>
            <w:noWrap/>
            <w:hideMark/>
          </w:tcPr>
          <w:p w14:paraId="22148C5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485</w:t>
            </w:r>
          </w:p>
        </w:tc>
      </w:tr>
      <w:tr w:rsidR="005842E4" w14:paraId="03DF1B5E"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2B2B7BCE" w14:textId="77777777" w:rsidR="005842E4" w:rsidRDefault="005842E4" w:rsidP="006E34BB">
            <w:pPr>
              <w:spacing w:after="0" w:line="360" w:lineRule="auto"/>
              <w:jc w:val="both"/>
              <w:rPr>
                <w:rFonts w:eastAsiaTheme="minorEastAsia"/>
                <w:sz w:val="18"/>
                <w:szCs w:val="18"/>
              </w:rPr>
            </w:pPr>
            <w:r>
              <w:rPr>
                <w:rFonts w:eastAsiaTheme="minorEastAsia"/>
                <w:sz w:val="18"/>
                <w:szCs w:val="18"/>
              </w:rPr>
              <w:t>Northern Borders</w:t>
            </w:r>
          </w:p>
        </w:tc>
        <w:tc>
          <w:tcPr>
            <w:tcW w:w="1807" w:type="dxa"/>
            <w:tcBorders>
              <w:top w:val="single" w:sz="4" w:space="0" w:color="auto"/>
              <w:left w:val="single" w:sz="4" w:space="0" w:color="auto"/>
              <w:bottom w:val="single" w:sz="4" w:space="0" w:color="auto"/>
              <w:right w:val="single" w:sz="4" w:space="0" w:color="auto"/>
            </w:tcBorders>
            <w:noWrap/>
            <w:hideMark/>
          </w:tcPr>
          <w:p w14:paraId="3E395C5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257</w:t>
            </w:r>
          </w:p>
        </w:tc>
        <w:tc>
          <w:tcPr>
            <w:tcW w:w="1758" w:type="dxa"/>
            <w:tcBorders>
              <w:top w:val="single" w:sz="4" w:space="0" w:color="auto"/>
              <w:left w:val="single" w:sz="4" w:space="0" w:color="auto"/>
              <w:bottom w:val="single" w:sz="4" w:space="0" w:color="auto"/>
              <w:right w:val="single" w:sz="4" w:space="0" w:color="auto"/>
            </w:tcBorders>
            <w:noWrap/>
            <w:hideMark/>
          </w:tcPr>
          <w:p w14:paraId="39991D0C"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141</w:t>
            </w:r>
          </w:p>
        </w:tc>
        <w:tc>
          <w:tcPr>
            <w:tcW w:w="2075" w:type="dxa"/>
            <w:tcBorders>
              <w:top w:val="single" w:sz="4" w:space="0" w:color="auto"/>
              <w:left w:val="single" w:sz="4" w:space="0" w:color="auto"/>
              <w:bottom w:val="single" w:sz="4" w:space="0" w:color="auto"/>
              <w:right w:val="single" w:sz="4" w:space="0" w:color="auto"/>
            </w:tcBorders>
            <w:noWrap/>
            <w:hideMark/>
          </w:tcPr>
          <w:p w14:paraId="41FC373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398</w:t>
            </w:r>
          </w:p>
        </w:tc>
      </w:tr>
      <w:tr w:rsidR="005842E4" w14:paraId="1EF864C2"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21298538" w14:textId="77777777" w:rsidR="005842E4" w:rsidRDefault="005842E4" w:rsidP="006E34BB">
            <w:pPr>
              <w:spacing w:after="0" w:line="360" w:lineRule="auto"/>
              <w:jc w:val="both"/>
              <w:rPr>
                <w:rFonts w:eastAsiaTheme="minorEastAsia"/>
                <w:sz w:val="18"/>
                <w:szCs w:val="18"/>
              </w:rPr>
            </w:pPr>
            <w:r>
              <w:rPr>
                <w:rFonts w:eastAsiaTheme="minorEastAsia"/>
                <w:sz w:val="18"/>
                <w:szCs w:val="18"/>
              </w:rPr>
              <w:t>Jizan</w:t>
            </w:r>
          </w:p>
        </w:tc>
        <w:tc>
          <w:tcPr>
            <w:tcW w:w="1807" w:type="dxa"/>
            <w:tcBorders>
              <w:top w:val="single" w:sz="4" w:space="0" w:color="auto"/>
              <w:left w:val="single" w:sz="4" w:space="0" w:color="auto"/>
              <w:bottom w:val="single" w:sz="4" w:space="0" w:color="auto"/>
              <w:right w:val="single" w:sz="4" w:space="0" w:color="auto"/>
            </w:tcBorders>
            <w:noWrap/>
            <w:hideMark/>
          </w:tcPr>
          <w:p w14:paraId="50E8854B"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441</w:t>
            </w:r>
          </w:p>
        </w:tc>
        <w:tc>
          <w:tcPr>
            <w:tcW w:w="1758" w:type="dxa"/>
            <w:tcBorders>
              <w:top w:val="single" w:sz="4" w:space="0" w:color="auto"/>
              <w:left w:val="single" w:sz="4" w:space="0" w:color="auto"/>
              <w:bottom w:val="single" w:sz="4" w:space="0" w:color="auto"/>
              <w:right w:val="single" w:sz="4" w:space="0" w:color="auto"/>
            </w:tcBorders>
            <w:noWrap/>
            <w:hideMark/>
          </w:tcPr>
          <w:p w14:paraId="034E60D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152</w:t>
            </w:r>
          </w:p>
        </w:tc>
        <w:tc>
          <w:tcPr>
            <w:tcW w:w="2075" w:type="dxa"/>
            <w:tcBorders>
              <w:top w:val="single" w:sz="4" w:space="0" w:color="auto"/>
              <w:left w:val="single" w:sz="4" w:space="0" w:color="auto"/>
              <w:bottom w:val="single" w:sz="4" w:space="0" w:color="auto"/>
              <w:right w:val="single" w:sz="4" w:space="0" w:color="auto"/>
            </w:tcBorders>
            <w:noWrap/>
            <w:hideMark/>
          </w:tcPr>
          <w:p w14:paraId="70E51235" w14:textId="77777777" w:rsidR="005842E4" w:rsidRDefault="005842E4" w:rsidP="006E34BB">
            <w:pPr>
              <w:spacing w:after="0" w:line="360" w:lineRule="auto"/>
              <w:jc w:val="both"/>
              <w:rPr>
                <w:rFonts w:eastAsiaTheme="minorEastAsia"/>
                <w:sz w:val="18"/>
                <w:szCs w:val="18"/>
              </w:rPr>
            </w:pPr>
            <w:r>
              <w:rPr>
                <w:rFonts w:eastAsiaTheme="minorEastAsia"/>
                <w:sz w:val="18"/>
                <w:szCs w:val="18"/>
              </w:rPr>
              <w:t>593</w:t>
            </w:r>
          </w:p>
        </w:tc>
      </w:tr>
      <w:tr w:rsidR="005842E4" w14:paraId="6B12F930"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3A3E2771"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Jawf</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7D7BE008"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234</w:t>
            </w:r>
          </w:p>
        </w:tc>
        <w:tc>
          <w:tcPr>
            <w:tcW w:w="1758" w:type="dxa"/>
            <w:tcBorders>
              <w:top w:val="single" w:sz="4" w:space="0" w:color="auto"/>
              <w:left w:val="single" w:sz="4" w:space="0" w:color="auto"/>
              <w:bottom w:val="single" w:sz="4" w:space="0" w:color="auto"/>
              <w:right w:val="single" w:sz="4" w:space="0" w:color="auto"/>
            </w:tcBorders>
            <w:noWrap/>
            <w:hideMark/>
          </w:tcPr>
          <w:p w14:paraId="144E85C6"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208</w:t>
            </w:r>
          </w:p>
        </w:tc>
        <w:tc>
          <w:tcPr>
            <w:tcW w:w="2075" w:type="dxa"/>
            <w:tcBorders>
              <w:top w:val="single" w:sz="4" w:space="0" w:color="auto"/>
              <w:left w:val="single" w:sz="4" w:space="0" w:color="auto"/>
              <w:bottom w:val="single" w:sz="4" w:space="0" w:color="auto"/>
              <w:right w:val="single" w:sz="4" w:space="0" w:color="auto"/>
            </w:tcBorders>
            <w:noWrap/>
            <w:hideMark/>
          </w:tcPr>
          <w:p w14:paraId="236EC1F1"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442</w:t>
            </w:r>
          </w:p>
        </w:tc>
      </w:tr>
      <w:tr w:rsidR="005842E4" w14:paraId="1B42B6C0"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51EEA0F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Najran</w:t>
            </w:r>
          </w:p>
        </w:tc>
        <w:tc>
          <w:tcPr>
            <w:tcW w:w="1807" w:type="dxa"/>
            <w:tcBorders>
              <w:top w:val="single" w:sz="4" w:space="0" w:color="auto"/>
              <w:left w:val="single" w:sz="4" w:space="0" w:color="auto"/>
              <w:bottom w:val="single" w:sz="4" w:space="0" w:color="auto"/>
              <w:right w:val="single" w:sz="4" w:space="0" w:color="auto"/>
            </w:tcBorders>
            <w:noWrap/>
            <w:hideMark/>
          </w:tcPr>
          <w:p w14:paraId="4AA13D27"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239</w:t>
            </w:r>
          </w:p>
        </w:tc>
        <w:tc>
          <w:tcPr>
            <w:tcW w:w="1758" w:type="dxa"/>
            <w:tcBorders>
              <w:top w:val="single" w:sz="4" w:space="0" w:color="auto"/>
              <w:left w:val="single" w:sz="4" w:space="0" w:color="auto"/>
              <w:bottom w:val="single" w:sz="4" w:space="0" w:color="auto"/>
              <w:right w:val="single" w:sz="4" w:space="0" w:color="auto"/>
            </w:tcBorders>
            <w:noWrap/>
            <w:hideMark/>
          </w:tcPr>
          <w:p w14:paraId="26B3E7D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163</w:t>
            </w:r>
          </w:p>
        </w:tc>
        <w:tc>
          <w:tcPr>
            <w:tcW w:w="2075" w:type="dxa"/>
            <w:tcBorders>
              <w:top w:val="single" w:sz="4" w:space="0" w:color="auto"/>
              <w:left w:val="single" w:sz="4" w:space="0" w:color="auto"/>
              <w:bottom w:val="single" w:sz="4" w:space="0" w:color="auto"/>
              <w:right w:val="single" w:sz="4" w:space="0" w:color="auto"/>
            </w:tcBorders>
            <w:noWrap/>
            <w:hideMark/>
          </w:tcPr>
          <w:p w14:paraId="5ED13748"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402</w:t>
            </w:r>
          </w:p>
        </w:tc>
      </w:tr>
      <w:tr w:rsidR="005842E4" w14:paraId="7DBF446B" w14:textId="77777777" w:rsidTr="00BF2F0C">
        <w:trPr>
          <w:trHeight w:val="240"/>
        </w:trPr>
        <w:tc>
          <w:tcPr>
            <w:tcW w:w="3042" w:type="dxa"/>
            <w:tcBorders>
              <w:top w:val="single" w:sz="4" w:space="0" w:color="auto"/>
              <w:left w:val="single" w:sz="4" w:space="0" w:color="auto"/>
              <w:bottom w:val="single" w:sz="4" w:space="0" w:color="auto"/>
              <w:right w:val="single" w:sz="4" w:space="0" w:color="auto"/>
            </w:tcBorders>
            <w:noWrap/>
            <w:hideMark/>
          </w:tcPr>
          <w:p w14:paraId="6969A54F" w14:textId="77777777" w:rsidR="005842E4" w:rsidRDefault="005842E4" w:rsidP="006E34BB">
            <w:pPr>
              <w:spacing w:after="0" w:line="360" w:lineRule="auto"/>
              <w:jc w:val="both"/>
              <w:rPr>
                <w:rFonts w:eastAsiaTheme="minorEastAsia"/>
                <w:sz w:val="18"/>
                <w:szCs w:val="18"/>
              </w:rPr>
            </w:pPr>
            <w:proofErr w:type="spellStart"/>
            <w:r>
              <w:rPr>
                <w:rFonts w:eastAsiaTheme="minorEastAsia"/>
                <w:sz w:val="18"/>
                <w:szCs w:val="18"/>
              </w:rPr>
              <w:t>Asir</w:t>
            </w:r>
            <w:proofErr w:type="spellEnd"/>
          </w:p>
        </w:tc>
        <w:tc>
          <w:tcPr>
            <w:tcW w:w="1807" w:type="dxa"/>
            <w:tcBorders>
              <w:top w:val="single" w:sz="4" w:space="0" w:color="auto"/>
              <w:left w:val="single" w:sz="4" w:space="0" w:color="auto"/>
              <w:bottom w:val="single" w:sz="4" w:space="0" w:color="auto"/>
              <w:right w:val="single" w:sz="4" w:space="0" w:color="auto"/>
            </w:tcBorders>
            <w:noWrap/>
            <w:hideMark/>
          </w:tcPr>
          <w:p w14:paraId="14F7C56F"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436</w:t>
            </w:r>
          </w:p>
        </w:tc>
        <w:tc>
          <w:tcPr>
            <w:tcW w:w="1758" w:type="dxa"/>
            <w:tcBorders>
              <w:top w:val="single" w:sz="4" w:space="0" w:color="auto"/>
              <w:left w:val="single" w:sz="4" w:space="0" w:color="auto"/>
              <w:bottom w:val="single" w:sz="4" w:space="0" w:color="auto"/>
              <w:right w:val="single" w:sz="4" w:space="0" w:color="auto"/>
            </w:tcBorders>
            <w:noWrap/>
            <w:hideMark/>
          </w:tcPr>
          <w:p w14:paraId="005DDEDD" w14:textId="77777777" w:rsidR="005842E4" w:rsidRDefault="005842E4" w:rsidP="006E34BB">
            <w:pPr>
              <w:spacing w:after="0" w:line="360" w:lineRule="auto"/>
              <w:jc w:val="both"/>
              <w:rPr>
                <w:rFonts w:eastAsiaTheme="minorEastAsia"/>
                <w:sz w:val="18"/>
                <w:szCs w:val="18"/>
              </w:rPr>
            </w:pPr>
            <w:r>
              <w:rPr>
                <w:rFonts w:eastAsiaTheme="minorEastAsia"/>
                <w:sz w:val="18"/>
                <w:szCs w:val="18"/>
              </w:rPr>
              <w:t>262</w:t>
            </w:r>
          </w:p>
        </w:tc>
        <w:tc>
          <w:tcPr>
            <w:tcW w:w="2075" w:type="dxa"/>
            <w:tcBorders>
              <w:top w:val="single" w:sz="4" w:space="0" w:color="auto"/>
              <w:left w:val="single" w:sz="4" w:space="0" w:color="auto"/>
              <w:bottom w:val="single" w:sz="4" w:space="0" w:color="auto"/>
              <w:right w:val="single" w:sz="4" w:space="0" w:color="auto"/>
            </w:tcBorders>
            <w:noWrap/>
            <w:hideMark/>
          </w:tcPr>
          <w:p w14:paraId="2C3B65DB" w14:textId="77777777" w:rsidR="005842E4" w:rsidRDefault="005842E4" w:rsidP="006E34BB">
            <w:pPr>
              <w:spacing w:after="0" w:line="360" w:lineRule="auto"/>
              <w:jc w:val="both"/>
              <w:rPr>
                <w:rFonts w:eastAsiaTheme="minorEastAsia"/>
                <w:sz w:val="18"/>
                <w:szCs w:val="18"/>
              </w:rPr>
            </w:pPr>
            <w:r>
              <w:rPr>
                <w:rFonts w:eastAsiaTheme="minorEastAsia"/>
                <w:sz w:val="18"/>
                <w:szCs w:val="18"/>
              </w:rPr>
              <w:t>698</w:t>
            </w:r>
          </w:p>
        </w:tc>
      </w:tr>
      <w:tr w:rsidR="005842E4" w14:paraId="021FAC5F" w14:textId="77777777" w:rsidTr="00BF2F0C">
        <w:trPr>
          <w:trHeight w:val="254"/>
        </w:trPr>
        <w:tc>
          <w:tcPr>
            <w:tcW w:w="3042" w:type="dxa"/>
            <w:tcBorders>
              <w:top w:val="single" w:sz="4" w:space="0" w:color="auto"/>
              <w:left w:val="single" w:sz="4" w:space="0" w:color="auto"/>
              <w:bottom w:val="single" w:sz="4" w:space="0" w:color="auto"/>
              <w:right w:val="single" w:sz="4" w:space="0" w:color="auto"/>
            </w:tcBorders>
            <w:noWrap/>
            <w:hideMark/>
          </w:tcPr>
          <w:p w14:paraId="2DB0BE80" w14:textId="77777777" w:rsidR="005842E4" w:rsidRDefault="005842E4" w:rsidP="006E34BB">
            <w:pPr>
              <w:spacing w:after="0" w:line="360" w:lineRule="auto"/>
              <w:jc w:val="both"/>
              <w:rPr>
                <w:rFonts w:eastAsiaTheme="minorEastAsia"/>
                <w:sz w:val="18"/>
                <w:szCs w:val="18"/>
              </w:rPr>
            </w:pPr>
            <w:r>
              <w:rPr>
                <w:rFonts w:eastAsiaTheme="minorEastAsia"/>
                <w:sz w:val="18"/>
                <w:szCs w:val="18"/>
              </w:rPr>
              <w:t>TOTAL</w:t>
            </w:r>
          </w:p>
        </w:tc>
        <w:tc>
          <w:tcPr>
            <w:tcW w:w="1807" w:type="dxa"/>
            <w:tcBorders>
              <w:top w:val="single" w:sz="4" w:space="0" w:color="auto"/>
              <w:left w:val="single" w:sz="4" w:space="0" w:color="auto"/>
              <w:bottom w:val="single" w:sz="4" w:space="0" w:color="auto"/>
              <w:right w:val="single" w:sz="4" w:space="0" w:color="auto"/>
            </w:tcBorders>
            <w:noWrap/>
            <w:hideMark/>
          </w:tcPr>
          <w:p w14:paraId="7088F14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8258</w:t>
            </w:r>
          </w:p>
        </w:tc>
        <w:tc>
          <w:tcPr>
            <w:tcW w:w="1758" w:type="dxa"/>
            <w:tcBorders>
              <w:top w:val="single" w:sz="4" w:space="0" w:color="auto"/>
              <w:left w:val="single" w:sz="4" w:space="0" w:color="auto"/>
              <w:bottom w:val="single" w:sz="4" w:space="0" w:color="auto"/>
              <w:right w:val="single" w:sz="4" w:space="0" w:color="auto"/>
            </w:tcBorders>
            <w:noWrap/>
            <w:hideMark/>
          </w:tcPr>
          <w:p w14:paraId="509CA374" w14:textId="77777777" w:rsidR="005842E4" w:rsidRDefault="005842E4" w:rsidP="006E34BB">
            <w:pPr>
              <w:spacing w:after="0" w:line="360" w:lineRule="auto"/>
              <w:jc w:val="both"/>
              <w:rPr>
                <w:rFonts w:eastAsiaTheme="minorEastAsia"/>
                <w:sz w:val="18"/>
                <w:szCs w:val="18"/>
              </w:rPr>
            </w:pPr>
            <w:r>
              <w:rPr>
                <w:rFonts w:eastAsiaTheme="minorEastAsia"/>
                <w:sz w:val="18"/>
                <w:szCs w:val="18"/>
              </w:rPr>
              <w:t>4573</w:t>
            </w:r>
          </w:p>
        </w:tc>
        <w:tc>
          <w:tcPr>
            <w:tcW w:w="2075" w:type="dxa"/>
            <w:tcBorders>
              <w:top w:val="single" w:sz="4" w:space="0" w:color="auto"/>
              <w:left w:val="single" w:sz="4" w:space="0" w:color="auto"/>
              <w:bottom w:val="single" w:sz="4" w:space="0" w:color="auto"/>
              <w:right w:val="single" w:sz="4" w:space="0" w:color="auto"/>
            </w:tcBorders>
            <w:noWrap/>
            <w:hideMark/>
          </w:tcPr>
          <w:p w14:paraId="24378CC2" w14:textId="77777777" w:rsidR="005842E4" w:rsidRDefault="005842E4" w:rsidP="006E34BB">
            <w:pPr>
              <w:spacing w:after="0" w:line="360" w:lineRule="auto"/>
              <w:jc w:val="both"/>
              <w:rPr>
                <w:rFonts w:eastAsiaTheme="minorEastAsia"/>
                <w:sz w:val="18"/>
                <w:szCs w:val="18"/>
              </w:rPr>
            </w:pPr>
            <w:r>
              <w:rPr>
                <w:rFonts w:eastAsiaTheme="minorEastAsia"/>
                <w:sz w:val="18"/>
                <w:szCs w:val="18"/>
              </w:rPr>
              <w:t>12831</w:t>
            </w:r>
          </w:p>
        </w:tc>
      </w:tr>
    </w:tbl>
    <w:p w14:paraId="14246D57" w14:textId="77777777" w:rsidR="005842E4" w:rsidRDefault="005842E4" w:rsidP="006E34BB">
      <w:pPr>
        <w:spacing w:after="0" w:line="360" w:lineRule="auto"/>
        <w:jc w:val="both"/>
      </w:pPr>
      <w:r>
        <w:rPr>
          <w:rFonts w:eastAsiaTheme="minorEastAsia"/>
        </w:rPr>
        <w:fldChar w:fldCharType="end"/>
      </w:r>
      <w:r>
        <w:rPr>
          <w:rFonts w:eastAsiaTheme="minorEastAsia"/>
        </w:rPr>
        <w:fldChar w:fldCharType="begin"/>
      </w:r>
      <w:r>
        <w:rPr>
          <w:rFonts w:eastAsiaTheme="minorEastAsia"/>
        </w:rPr>
        <w:instrText xml:space="preserve"> LINK Excel.Sheet.12 C:\\Users\\Guya\\Desktop\\KSA_Staffing_Plan.xlsx "KSA RTs!R36C11:R57C14" \a \f 4 \h  \* MERGEFORMAT </w:instrText>
      </w:r>
      <w:r>
        <w:rPr>
          <w:rFonts w:eastAsiaTheme="minorEastAsia"/>
        </w:rPr>
        <w:fldChar w:fldCharType="end"/>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LINK Excel.Sheet.12 "C:\\Users\\Guya\\Desktop\\KSA_Staffing_Plan.xlsx" "Sheet2!R2C6:R23C13" \a \f 5 \h  \* MERGEFORMAT </w:instrText>
      </w:r>
      <w:r>
        <w:rPr>
          <w:rFonts w:ascii="Times New Roman" w:eastAsiaTheme="minorEastAsia" w:hAnsi="Times New Roman" w:cs="Times New Roman"/>
          <w:sz w:val="24"/>
          <w:szCs w:val="24"/>
        </w:rPr>
        <w:fldChar w:fldCharType="separate"/>
      </w:r>
    </w:p>
    <w:p w14:paraId="54835841" w14:textId="77777777" w:rsidR="005842E4" w:rsidRDefault="005842E4" w:rsidP="00A51B54">
      <w:pPr>
        <w:pStyle w:val="Caption"/>
        <w:keepNext/>
        <w:spacing w:line="360" w:lineRule="auto"/>
      </w:pPr>
      <w:r>
        <w:lastRenderedPageBreak/>
        <w:t xml:space="preserve">Table </w:t>
      </w:r>
      <w:r>
        <w:fldChar w:fldCharType="begin"/>
      </w:r>
      <w:r>
        <w:instrText xml:space="preserve"> SEQ Table \* ARABIC </w:instrText>
      </w:r>
      <w:r>
        <w:fldChar w:fldCharType="separate"/>
      </w:r>
      <w:r>
        <w:rPr>
          <w:noProof/>
        </w:rPr>
        <w:t>3</w:t>
      </w:r>
      <w:r>
        <w:rPr>
          <w:noProof/>
        </w:rPr>
        <w:fldChar w:fldCharType="end"/>
      </w:r>
      <w:r>
        <w:t>: Total RTs needed in non-MOH Hospitals</w:t>
      </w:r>
    </w:p>
    <w:tbl>
      <w:tblPr>
        <w:tblStyle w:val="TableGrid"/>
        <w:tblW w:w="10345" w:type="dxa"/>
        <w:tblInd w:w="0" w:type="dxa"/>
        <w:tblLook w:val="04A0" w:firstRow="1" w:lastRow="0" w:firstColumn="1" w:lastColumn="0" w:noHBand="0" w:noVBand="1"/>
      </w:tblPr>
      <w:tblGrid>
        <w:gridCol w:w="1606"/>
        <w:gridCol w:w="960"/>
        <w:gridCol w:w="1216"/>
        <w:gridCol w:w="1343"/>
        <w:gridCol w:w="1216"/>
        <w:gridCol w:w="990"/>
        <w:gridCol w:w="1170"/>
        <w:gridCol w:w="1844"/>
      </w:tblGrid>
      <w:tr w:rsidR="005842E4" w14:paraId="2AE9330F" w14:textId="77777777" w:rsidTr="00BF2F0C">
        <w:trPr>
          <w:trHeight w:val="953"/>
        </w:trPr>
        <w:tc>
          <w:tcPr>
            <w:tcW w:w="1606" w:type="dxa"/>
            <w:tcBorders>
              <w:top w:val="single" w:sz="4" w:space="0" w:color="auto"/>
              <w:left w:val="single" w:sz="4" w:space="0" w:color="auto"/>
              <w:bottom w:val="single" w:sz="4" w:space="0" w:color="auto"/>
              <w:right w:val="single" w:sz="4" w:space="0" w:color="auto"/>
            </w:tcBorders>
            <w:noWrap/>
            <w:hideMark/>
          </w:tcPr>
          <w:p w14:paraId="4DDDA88E" w14:textId="77777777" w:rsidR="005842E4" w:rsidRDefault="005842E4" w:rsidP="006E34BB">
            <w:pPr>
              <w:spacing w:after="0" w:line="360" w:lineRule="auto"/>
              <w:jc w:val="both"/>
              <w:rPr>
                <w:rFonts w:ascii="Times New Roman" w:eastAsiaTheme="minorEastAsia" w:hAnsi="Times New Roman" w:cs="Times New Roman"/>
                <w:b/>
                <w:sz w:val="18"/>
                <w:szCs w:val="18"/>
              </w:rPr>
            </w:pPr>
            <w:r>
              <w:rPr>
                <w:rFonts w:ascii="Times New Roman" w:eastAsiaTheme="minorEastAsia" w:hAnsi="Times New Roman" w:cs="Times New Roman"/>
                <w:b/>
                <w:sz w:val="18"/>
                <w:szCs w:val="18"/>
              </w:rPr>
              <w:t>KSA Medical Administrative Regions</w:t>
            </w:r>
          </w:p>
        </w:tc>
        <w:tc>
          <w:tcPr>
            <w:tcW w:w="960" w:type="dxa"/>
            <w:tcBorders>
              <w:top w:val="single" w:sz="4" w:space="0" w:color="auto"/>
              <w:left w:val="single" w:sz="4" w:space="0" w:color="auto"/>
              <w:bottom w:val="single" w:sz="4" w:space="0" w:color="auto"/>
              <w:right w:val="single" w:sz="4" w:space="0" w:color="auto"/>
            </w:tcBorders>
            <w:noWrap/>
            <w:hideMark/>
          </w:tcPr>
          <w:p w14:paraId="4B981B7D"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Non-MOH Hospitals</w:t>
            </w:r>
          </w:p>
        </w:tc>
        <w:tc>
          <w:tcPr>
            <w:tcW w:w="1216" w:type="dxa"/>
            <w:tcBorders>
              <w:top w:val="single" w:sz="4" w:space="0" w:color="auto"/>
              <w:left w:val="single" w:sz="4" w:space="0" w:color="auto"/>
              <w:bottom w:val="single" w:sz="4" w:space="0" w:color="auto"/>
              <w:right w:val="single" w:sz="4" w:space="0" w:color="auto"/>
            </w:tcBorders>
            <w:noWrap/>
            <w:hideMark/>
          </w:tcPr>
          <w:p w14:paraId="25636453"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NON_MOH-General Floor Beds</w:t>
            </w:r>
          </w:p>
        </w:tc>
        <w:tc>
          <w:tcPr>
            <w:tcW w:w="1343" w:type="dxa"/>
            <w:tcBorders>
              <w:top w:val="single" w:sz="4" w:space="0" w:color="auto"/>
              <w:left w:val="single" w:sz="4" w:space="0" w:color="auto"/>
              <w:bottom w:val="single" w:sz="4" w:space="0" w:color="auto"/>
              <w:right w:val="single" w:sz="4" w:space="0" w:color="auto"/>
            </w:tcBorders>
            <w:hideMark/>
          </w:tcPr>
          <w:p w14:paraId="710C9CCA"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RTs Needed on NON-MOH General Floor</w:t>
            </w:r>
          </w:p>
        </w:tc>
        <w:tc>
          <w:tcPr>
            <w:tcW w:w="1216" w:type="dxa"/>
            <w:tcBorders>
              <w:top w:val="single" w:sz="4" w:space="0" w:color="auto"/>
              <w:left w:val="single" w:sz="4" w:space="0" w:color="auto"/>
              <w:bottom w:val="single" w:sz="4" w:space="0" w:color="auto"/>
              <w:right w:val="single" w:sz="4" w:space="0" w:color="auto"/>
            </w:tcBorders>
            <w:noWrap/>
            <w:hideMark/>
          </w:tcPr>
          <w:p w14:paraId="0BE7ED05"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NON_MOH-ICU Beds</w:t>
            </w:r>
          </w:p>
        </w:tc>
        <w:tc>
          <w:tcPr>
            <w:tcW w:w="990" w:type="dxa"/>
            <w:tcBorders>
              <w:top w:val="single" w:sz="4" w:space="0" w:color="auto"/>
              <w:left w:val="single" w:sz="4" w:space="0" w:color="auto"/>
              <w:bottom w:val="single" w:sz="4" w:space="0" w:color="auto"/>
              <w:right w:val="single" w:sz="4" w:space="0" w:color="auto"/>
            </w:tcBorders>
            <w:hideMark/>
          </w:tcPr>
          <w:p w14:paraId="5B7C8134"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RTs Needed on NON-MOH-ICU Beds</w:t>
            </w:r>
          </w:p>
        </w:tc>
        <w:tc>
          <w:tcPr>
            <w:tcW w:w="1170" w:type="dxa"/>
            <w:tcBorders>
              <w:top w:val="single" w:sz="4" w:space="0" w:color="auto"/>
              <w:left w:val="single" w:sz="4" w:space="0" w:color="auto"/>
              <w:bottom w:val="single" w:sz="4" w:space="0" w:color="auto"/>
              <w:right w:val="single" w:sz="4" w:space="0" w:color="auto"/>
            </w:tcBorders>
            <w:noWrap/>
            <w:hideMark/>
          </w:tcPr>
          <w:p w14:paraId="52757E0F"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Total non-MOH Hospital Beds</w:t>
            </w:r>
          </w:p>
        </w:tc>
        <w:tc>
          <w:tcPr>
            <w:tcW w:w="1844" w:type="dxa"/>
            <w:tcBorders>
              <w:top w:val="single" w:sz="4" w:space="0" w:color="auto"/>
              <w:left w:val="single" w:sz="4" w:space="0" w:color="auto"/>
              <w:bottom w:val="single" w:sz="4" w:space="0" w:color="auto"/>
              <w:right w:val="single" w:sz="4" w:space="0" w:color="auto"/>
            </w:tcBorders>
            <w:hideMark/>
          </w:tcPr>
          <w:p w14:paraId="0071DAF2"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Total RTs Needed in NON-MOH Hospitals</w:t>
            </w:r>
          </w:p>
        </w:tc>
      </w:tr>
      <w:tr w:rsidR="005842E4" w14:paraId="3EF4C374"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4F58825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Riyadh</w:t>
            </w:r>
          </w:p>
        </w:tc>
        <w:tc>
          <w:tcPr>
            <w:tcW w:w="960" w:type="dxa"/>
            <w:tcBorders>
              <w:top w:val="single" w:sz="4" w:space="0" w:color="auto"/>
              <w:left w:val="single" w:sz="4" w:space="0" w:color="auto"/>
              <w:bottom w:val="single" w:sz="4" w:space="0" w:color="auto"/>
              <w:right w:val="single" w:sz="4" w:space="0" w:color="auto"/>
            </w:tcBorders>
            <w:noWrap/>
            <w:hideMark/>
          </w:tcPr>
          <w:p w14:paraId="118C47C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w:t>
            </w:r>
          </w:p>
        </w:tc>
        <w:tc>
          <w:tcPr>
            <w:tcW w:w="1216" w:type="dxa"/>
            <w:tcBorders>
              <w:top w:val="single" w:sz="4" w:space="0" w:color="auto"/>
              <w:left w:val="single" w:sz="4" w:space="0" w:color="auto"/>
              <w:bottom w:val="single" w:sz="4" w:space="0" w:color="auto"/>
              <w:right w:val="single" w:sz="4" w:space="0" w:color="auto"/>
            </w:tcBorders>
            <w:noWrap/>
            <w:hideMark/>
          </w:tcPr>
          <w:p w14:paraId="4DAAD0D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4474</w:t>
            </w:r>
          </w:p>
        </w:tc>
        <w:tc>
          <w:tcPr>
            <w:tcW w:w="1343" w:type="dxa"/>
            <w:tcBorders>
              <w:top w:val="single" w:sz="4" w:space="0" w:color="auto"/>
              <w:left w:val="single" w:sz="4" w:space="0" w:color="auto"/>
              <w:bottom w:val="single" w:sz="4" w:space="0" w:color="auto"/>
              <w:right w:val="single" w:sz="4" w:space="0" w:color="auto"/>
            </w:tcBorders>
            <w:noWrap/>
            <w:hideMark/>
          </w:tcPr>
          <w:p w14:paraId="2D19EA3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963</w:t>
            </w:r>
          </w:p>
        </w:tc>
        <w:tc>
          <w:tcPr>
            <w:tcW w:w="1216" w:type="dxa"/>
            <w:tcBorders>
              <w:top w:val="single" w:sz="4" w:space="0" w:color="auto"/>
              <w:left w:val="single" w:sz="4" w:space="0" w:color="auto"/>
              <w:bottom w:val="single" w:sz="4" w:space="0" w:color="auto"/>
              <w:right w:val="single" w:sz="4" w:space="0" w:color="auto"/>
            </w:tcBorders>
            <w:noWrap/>
            <w:hideMark/>
          </w:tcPr>
          <w:p w14:paraId="563B4FB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598</w:t>
            </w:r>
          </w:p>
        </w:tc>
        <w:tc>
          <w:tcPr>
            <w:tcW w:w="990" w:type="dxa"/>
            <w:tcBorders>
              <w:top w:val="single" w:sz="4" w:space="0" w:color="auto"/>
              <w:left w:val="single" w:sz="4" w:space="0" w:color="auto"/>
              <w:bottom w:val="single" w:sz="4" w:space="0" w:color="auto"/>
              <w:right w:val="single" w:sz="4" w:space="0" w:color="auto"/>
            </w:tcBorders>
            <w:noWrap/>
            <w:hideMark/>
          </w:tcPr>
          <w:p w14:paraId="3C6D21F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515</w:t>
            </w:r>
          </w:p>
        </w:tc>
        <w:tc>
          <w:tcPr>
            <w:tcW w:w="1170" w:type="dxa"/>
            <w:tcBorders>
              <w:top w:val="single" w:sz="4" w:space="0" w:color="auto"/>
              <w:left w:val="single" w:sz="4" w:space="0" w:color="auto"/>
              <w:bottom w:val="single" w:sz="4" w:space="0" w:color="auto"/>
              <w:right w:val="single" w:sz="4" w:space="0" w:color="auto"/>
            </w:tcBorders>
            <w:noWrap/>
            <w:hideMark/>
          </w:tcPr>
          <w:p w14:paraId="41BD442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5072</w:t>
            </w:r>
          </w:p>
        </w:tc>
        <w:tc>
          <w:tcPr>
            <w:tcW w:w="1844" w:type="dxa"/>
            <w:tcBorders>
              <w:top w:val="single" w:sz="4" w:space="0" w:color="auto"/>
              <w:left w:val="single" w:sz="4" w:space="0" w:color="auto"/>
              <w:bottom w:val="single" w:sz="4" w:space="0" w:color="auto"/>
              <w:right w:val="single" w:sz="4" w:space="0" w:color="auto"/>
            </w:tcBorders>
            <w:noWrap/>
            <w:hideMark/>
          </w:tcPr>
          <w:p w14:paraId="14EC0E7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1478</w:t>
            </w:r>
          </w:p>
        </w:tc>
      </w:tr>
      <w:tr w:rsidR="005842E4" w14:paraId="7B56F07B"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4EFAFE2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Jeddah </w:t>
            </w:r>
          </w:p>
        </w:tc>
        <w:tc>
          <w:tcPr>
            <w:tcW w:w="960" w:type="dxa"/>
            <w:tcBorders>
              <w:top w:val="single" w:sz="4" w:space="0" w:color="auto"/>
              <w:left w:val="single" w:sz="4" w:space="0" w:color="auto"/>
              <w:bottom w:val="single" w:sz="4" w:space="0" w:color="auto"/>
              <w:right w:val="single" w:sz="4" w:space="0" w:color="auto"/>
            </w:tcBorders>
            <w:noWrap/>
            <w:hideMark/>
          </w:tcPr>
          <w:p w14:paraId="0DF4DCD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1216" w:type="dxa"/>
            <w:tcBorders>
              <w:top w:val="single" w:sz="4" w:space="0" w:color="auto"/>
              <w:left w:val="single" w:sz="4" w:space="0" w:color="auto"/>
              <w:bottom w:val="single" w:sz="4" w:space="0" w:color="auto"/>
              <w:right w:val="single" w:sz="4" w:space="0" w:color="auto"/>
            </w:tcBorders>
            <w:noWrap/>
            <w:hideMark/>
          </w:tcPr>
          <w:p w14:paraId="05C7C55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1650</w:t>
            </w:r>
          </w:p>
        </w:tc>
        <w:tc>
          <w:tcPr>
            <w:tcW w:w="1343" w:type="dxa"/>
            <w:tcBorders>
              <w:top w:val="single" w:sz="4" w:space="0" w:color="auto"/>
              <w:left w:val="single" w:sz="4" w:space="0" w:color="auto"/>
              <w:bottom w:val="single" w:sz="4" w:space="0" w:color="auto"/>
              <w:right w:val="single" w:sz="4" w:space="0" w:color="auto"/>
            </w:tcBorders>
            <w:noWrap/>
            <w:hideMark/>
          </w:tcPr>
          <w:p w14:paraId="5BEA9A2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355</w:t>
            </w:r>
          </w:p>
        </w:tc>
        <w:tc>
          <w:tcPr>
            <w:tcW w:w="1216" w:type="dxa"/>
            <w:tcBorders>
              <w:top w:val="single" w:sz="4" w:space="0" w:color="auto"/>
              <w:left w:val="single" w:sz="4" w:space="0" w:color="auto"/>
              <w:bottom w:val="single" w:sz="4" w:space="0" w:color="auto"/>
              <w:right w:val="single" w:sz="4" w:space="0" w:color="auto"/>
            </w:tcBorders>
            <w:noWrap/>
            <w:hideMark/>
          </w:tcPr>
          <w:p w14:paraId="5227EA0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220</w:t>
            </w:r>
          </w:p>
        </w:tc>
        <w:tc>
          <w:tcPr>
            <w:tcW w:w="990" w:type="dxa"/>
            <w:tcBorders>
              <w:top w:val="single" w:sz="4" w:space="0" w:color="auto"/>
              <w:left w:val="single" w:sz="4" w:space="0" w:color="auto"/>
              <w:bottom w:val="single" w:sz="4" w:space="0" w:color="auto"/>
              <w:right w:val="single" w:sz="4" w:space="0" w:color="auto"/>
            </w:tcBorders>
            <w:noWrap/>
            <w:hideMark/>
          </w:tcPr>
          <w:p w14:paraId="604A336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189</w:t>
            </w:r>
          </w:p>
        </w:tc>
        <w:tc>
          <w:tcPr>
            <w:tcW w:w="1170" w:type="dxa"/>
            <w:tcBorders>
              <w:top w:val="single" w:sz="4" w:space="0" w:color="auto"/>
              <w:left w:val="single" w:sz="4" w:space="0" w:color="auto"/>
              <w:bottom w:val="single" w:sz="4" w:space="0" w:color="auto"/>
              <w:right w:val="single" w:sz="4" w:space="0" w:color="auto"/>
            </w:tcBorders>
            <w:noWrap/>
            <w:hideMark/>
          </w:tcPr>
          <w:p w14:paraId="19A227D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1870</w:t>
            </w:r>
          </w:p>
        </w:tc>
        <w:tc>
          <w:tcPr>
            <w:tcW w:w="1844" w:type="dxa"/>
            <w:tcBorders>
              <w:top w:val="single" w:sz="4" w:space="0" w:color="auto"/>
              <w:left w:val="single" w:sz="4" w:space="0" w:color="auto"/>
              <w:bottom w:val="single" w:sz="4" w:space="0" w:color="auto"/>
              <w:right w:val="single" w:sz="4" w:space="0" w:color="auto"/>
            </w:tcBorders>
            <w:noWrap/>
            <w:hideMark/>
          </w:tcPr>
          <w:p w14:paraId="7CDE685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544</w:t>
            </w:r>
          </w:p>
        </w:tc>
      </w:tr>
      <w:tr w:rsidR="005842E4" w14:paraId="20203465"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51549525"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Ta'if</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34EA8D0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w:t>
            </w:r>
          </w:p>
        </w:tc>
        <w:tc>
          <w:tcPr>
            <w:tcW w:w="1216" w:type="dxa"/>
            <w:tcBorders>
              <w:top w:val="single" w:sz="4" w:space="0" w:color="auto"/>
              <w:left w:val="single" w:sz="4" w:space="0" w:color="auto"/>
              <w:bottom w:val="single" w:sz="4" w:space="0" w:color="auto"/>
              <w:right w:val="single" w:sz="4" w:space="0" w:color="auto"/>
            </w:tcBorders>
            <w:noWrap/>
            <w:hideMark/>
          </w:tcPr>
          <w:p w14:paraId="2530FE3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758</w:t>
            </w:r>
          </w:p>
        </w:tc>
        <w:tc>
          <w:tcPr>
            <w:tcW w:w="1343" w:type="dxa"/>
            <w:tcBorders>
              <w:top w:val="single" w:sz="4" w:space="0" w:color="auto"/>
              <w:left w:val="single" w:sz="4" w:space="0" w:color="auto"/>
              <w:bottom w:val="single" w:sz="4" w:space="0" w:color="auto"/>
              <w:right w:val="single" w:sz="4" w:space="0" w:color="auto"/>
            </w:tcBorders>
            <w:noWrap/>
            <w:hideMark/>
          </w:tcPr>
          <w:p w14:paraId="63945D9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163</w:t>
            </w:r>
          </w:p>
        </w:tc>
        <w:tc>
          <w:tcPr>
            <w:tcW w:w="1216" w:type="dxa"/>
            <w:tcBorders>
              <w:top w:val="single" w:sz="4" w:space="0" w:color="auto"/>
              <w:left w:val="single" w:sz="4" w:space="0" w:color="auto"/>
              <w:bottom w:val="single" w:sz="4" w:space="0" w:color="auto"/>
              <w:right w:val="single" w:sz="4" w:space="0" w:color="auto"/>
            </w:tcBorders>
            <w:noWrap/>
            <w:hideMark/>
          </w:tcPr>
          <w:p w14:paraId="4DD64D4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101</w:t>
            </w:r>
          </w:p>
        </w:tc>
        <w:tc>
          <w:tcPr>
            <w:tcW w:w="990" w:type="dxa"/>
            <w:tcBorders>
              <w:top w:val="single" w:sz="4" w:space="0" w:color="auto"/>
              <w:left w:val="single" w:sz="4" w:space="0" w:color="auto"/>
              <w:bottom w:val="single" w:sz="4" w:space="0" w:color="auto"/>
              <w:right w:val="single" w:sz="4" w:space="0" w:color="auto"/>
            </w:tcBorders>
            <w:noWrap/>
            <w:hideMark/>
          </w:tcPr>
          <w:p w14:paraId="315E9EB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87</w:t>
            </w:r>
          </w:p>
        </w:tc>
        <w:tc>
          <w:tcPr>
            <w:tcW w:w="1170" w:type="dxa"/>
            <w:tcBorders>
              <w:top w:val="single" w:sz="4" w:space="0" w:color="auto"/>
              <w:left w:val="single" w:sz="4" w:space="0" w:color="auto"/>
              <w:bottom w:val="single" w:sz="4" w:space="0" w:color="auto"/>
              <w:right w:val="single" w:sz="4" w:space="0" w:color="auto"/>
            </w:tcBorders>
            <w:noWrap/>
            <w:hideMark/>
          </w:tcPr>
          <w:p w14:paraId="15FAAB3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859</w:t>
            </w:r>
          </w:p>
        </w:tc>
        <w:tc>
          <w:tcPr>
            <w:tcW w:w="1844" w:type="dxa"/>
            <w:tcBorders>
              <w:top w:val="single" w:sz="4" w:space="0" w:color="auto"/>
              <w:left w:val="single" w:sz="4" w:space="0" w:color="auto"/>
              <w:bottom w:val="single" w:sz="4" w:space="0" w:color="auto"/>
              <w:right w:val="single" w:sz="4" w:space="0" w:color="auto"/>
            </w:tcBorders>
            <w:noWrap/>
            <w:hideMark/>
          </w:tcPr>
          <w:p w14:paraId="4C88332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250</w:t>
            </w:r>
          </w:p>
        </w:tc>
      </w:tr>
      <w:tr w:rsidR="005842E4" w14:paraId="7F5FF986"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0E86C183"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Al'Ahsa</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62BA889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w:t>
            </w:r>
          </w:p>
        </w:tc>
        <w:tc>
          <w:tcPr>
            <w:tcW w:w="1216" w:type="dxa"/>
            <w:tcBorders>
              <w:top w:val="single" w:sz="4" w:space="0" w:color="auto"/>
              <w:left w:val="single" w:sz="4" w:space="0" w:color="auto"/>
              <w:bottom w:val="single" w:sz="4" w:space="0" w:color="auto"/>
              <w:right w:val="single" w:sz="4" w:space="0" w:color="auto"/>
            </w:tcBorders>
            <w:noWrap/>
            <w:hideMark/>
          </w:tcPr>
          <w:p w14:paraId="291800E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238</w:t>
            </w:r>
          </w:p>
        </w:tc>
        <w:tc>
          <w:tcPr>
            <w:tcW w:w="1343" w:type="dxa"/>
            <w:tcBorders>
              <w:top w:val="single" w:sz="4" w:space="0" w:color="auto"/>
              <w:left w:val="single" w:sz="4" w:space="0" w:color="auto"/>
              <w:bottom w:val="single" w:sz="4" w:space="0" w:color="auto"/>
              <w:right w:val="single" w:sz="4" w:space="0" w:color="auto"/>
            </w:tcBorders>
            <w:noWrap/>
            <w:hideMark/>
          </w:tcPr>
          <w:p w14:paraId="18E82A5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w:t>
            </w:r>
          </w:p>
        </w:tc>
        <w:tc>
          <w:tcPr>
            <w:tcW w:w="1216" w:type="dxa"/>
            <w:tcBorders>
              <w:top w:val="single" w:sz="4" w:space="0" w:color="auto"/>
              <w:left w:val="single" w:sz="4" w:space="0" w:color="auto"/>
              <w:bottom w:val="single" w:sz="4" w:space="0" w:color="auto"/>
              <w:right w:val="single" w:sz="4" w:space="0" w:color="auto"/>
            </w:tcBorders>
            <w:noWrap/>
            <w:hideMark/>
          </w:tcPr>
          <w:p w14:paraId="1DAC0AF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w:t>
            </w:r>
          </w:p>
        </w:tc>
        <w:tc>
          <w:tcPr>
            <w:tcW w:w="990" w:type="dxa"/>
            <w:tcBorders>
              <w:top w:val="single" w:sz="4" w:space="0" w:color="auto"/>
              <w:left w:val="single" w:sz="4" w:space="0" w:color="auto"/>
              <w:bottom w:val="single" w:sz="4" w:space="0" w:color="auto"/>
              <w:right w:val="single" w:sz="4" w:space="0" w:color="auto"/>
            </w:tcBorders>
            <w:noWrap/>
            <w:hideMark/>
          </w:tcPr>
          <w:p w14:paraId="6C2D7FA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28</w:t>
            </w:r>
          </w:p>
        </w:tc>
        <w:tc>
          <w:tcPr>
            <w:tcW w:w="1170" w:type="dxa"/>
            <w:tcBorders>
              <w:top w:val="single" w:sz="4" w:space="0" w:color="auto"/>
              <w:left w:val="single" w:sz="4" w:space="0" w:color="auto"/>
              <w:bottom w:val="single" w:sz="4" w:space="0" w:color="auto"/>
              <w:right w:val="single" w:sz="4" w:space="0" w:color="auto"/>
            </w:tcBorders>
            <w:noWrap/>
            <w:hideMark/>
          </w:tcPr>
          <w:p w14:paraId="2886B59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270</w:t>
            </w:r>
          </w:p>
        </w:tc>
        <w:tc>
          <w:tcPr>
            <w:tcW w:w="1844" w:type="dxa"/>
            <w:tcBorders>
              <w:top w:val="single" w:sz="4" w:space="0" w:color="auto"/>
              <w:left w:val="single" w:sz="4" w:space="0" w:color="auto"/>
              <w:bottom w:val="single" w:sz="4" w:space="0" w:color="auto"/>
              <w:right w:val="single" w:sz="4" w:space="0" w:color="auto"/>
            </w:tcBorders>
            <w:noWrap/>
            <w:hideMark/>
          </w:tcPr>
          <w:p w14:paraId="52F0EA7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79</w:t>
            </w:r>
          </w:p>
        </w:tc>
      </w:tr>
      <w:tr w:rsidR="005842E4" w14:paraId="7F310E4E"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1FF47428"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Hafr</w:t>
            </w:r>
            <w:proofErr w:type="spellEnd"/>
            <w:r>
              <w:rPr>
                <w:rFonts w:ascii="Times New Roman" w:eastAsiaTheme="minorEastAsia" w:hAnsi="Times New Roman" w:cs="Times New Roman"/>
                <w:sz w:val="18"/>
                <w:szCs w:val="18"/>
              </w:rPr>
              <w:t xml:space="preserve"> </w:t>
            </w:r>
            <w:proofErr w:type="spellStart"/>
            <w:r>
              <w:rPr>
                <w:rFonts w:ascii="Times New Roman" w:eastAsiaTheme="minorEastAsia" w:hAnsi="Times New Roman" w:cs="Times New Roman"/>
                <w:sz w:val="18"/>
                <w:szCs w:val="18"/>
              </w:rPr>
              <w:t>Al'Baten</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0018DA5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w:t>
            </w:r>
          </w:p>
        </w:tc>
        <w:tc>
          <w:tcPr>
            <w:tcW w:w="1216" w:type="dxa"/>
            <w:tcBorders>
              <w:top w:val="single" w:sz="4" w:space="0" w:color="auto"/>
              <w:left w:val="single" w:sz="4" w:space="0" w:color="auto"/>
              <w:bottom w:val="single" w:sz="4" w:space="0" w:color="auto"/>
              <w:right w:val="single" w:sz="4" w:space="0" w:color="auto"/>
            </w:tcBorders>
            <w:noWrap/>
            <w:hideMark/>
          </w:tcPr>
          <w:p w14:paraId="547D94E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255</w:t>
            </w:r>
          </w:p>
        </w:tc>
        <w:tc>
          <w:tcPr>
            <w:tcW w:w="1343" w:type="dxa"/>
            <w:tcBorders>
              <w:top w:val="single" w:sz="4" w:space="0" w:color="auto"/>
              <w:left w:val="single" w:sz="4" w:space="0" w:color="auto"/>
              <w:bottom w:val="single" w:sz="4" w:space="0" w:color="auto"/>
              <w:right w:val="single" w:sz="4" w:space="0" w:color="auto"/>
            </w:tcBorders>
            <w:noWrap/>
            <w:hideMark/>
          </w:tcPr>
          <w:p w14:paraId="70C60C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55</w:t>
            </w:r>
          </w:p>
        </w:tc>
        <w:tc>
          <w:tcPr>
            <w:tcW w:w="1216" w:type="dxa"/>
            <w:tcBorders>
              <w:top w:val="single" w:sz="4" w:space="0" w:color="auto"/>
              <w:left w:val="single" w:sz="4" w:space="0" w:color="auto"/>
              <w:bottom w:val="single" w:sz="4" w:space="0" w:color="auto"/>
              <w:right w:val="single" w:sz="4" w:space="0" w:color="auto"/>
            </w:tcBorders>
            <w:noWrap/>
            <w:hideMark/>
          </w:tcPr>
          <w:p w14:paraId="78CB330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w:t>
            </w:r>
          </w:p>
        </w:tc>
        <w:tc>
          <w:tcPr>
            <w:tcW w:w="990" w:type="dxa"/>
            <w:tcBorders>
              <w:top w:val="single" w:sz="4" w:space="0" w:color="auto"/>
              <w:left w:val="single" w:sz="4" w:space="0" w:color="auto"/>
              <w:bottom w:val="single" w:sz="4" w:space="0" w:color="auto"/>
              <w:right w:val="single" w:sz="4" w:space="0" w:color="auto"/>
            </w:tcBorders>
            <w:noWrap/>
            <w:hideMark/>
          </w:tcPr>
          <w:p w14:paraId="2671C83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29</w:t>
            </w:r>
          </w:p>
        </w:tc>
        <w:tc>
          <w:tcPr>
            <w:tcW w:w="1170" w:type="dxa"/>
            <w:tcBorders>
              <w:top w:val="single" w:sz="4" w:space="0" w:color="auto"/>
              <w:left w:val="single" w:sz="4" w:space="0" w:color="auto"/>
              <w:bottom w:val="single" w:sz="4" w:space="0" w:color="auto"/>
              <w:right w:val="single" w:sz="4" w:space="0" w:color="auto"/>
            </w:tcBorders>
            <w:noWrap/>
            <w:hideMark/>
          </w:tcPr>
          <w:p w14:paraId="7619FD9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289</w:t>
            </w:r>
          </w:p>
        </w:tc>
        <w:tc>
          <w:tcPr>
            <w:tcW w:w="1844" w:type="dxa"/>
            <w:tcBorders>
              <w:top w:val="single" w:sz="4" w:space="0" w:color="auto"/>
              <w:left w:val="single" w:sz="4" w:space="0" w:color="auto"/>
              <w:bottom w:val="single" w:sz="4" w:space="0" w:color="auto"/>
              <w:right w:val="single" w:sz="4" w:space="0" w:color="auto"/>
            </w:tcBorders>
            <w:noWrap/>
            <w:hideMark/>
          </w:tcPr>
          <w:p w14:paraId="5E22FC2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84</w:t>
            </w:r>
          </w:p>
        </w:tc>
      </w:tr>
      <w:tr w:rsidR="005842E4" w14:paraId="765A0907"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17FEBCE0"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Bishah</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22A09EA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06F2B51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281955E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6F02052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3B8D129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2E0E3DB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736149D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68363F49"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7719489A"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Qurayyat</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20032DE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3505282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21E11D5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542FFBB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4FD82BD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3315BB5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63C06D8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039F55B2"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0426C7AA"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Qunfudah</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5EC666B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7C5EC5B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5AD4759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23AF256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113A9F3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10FA965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7866322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3F9CFB84"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12A73874"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Tabouk</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342D62C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w:t>
            </w:r>
          </w:p>
        </w:tc>
        <w:tc>
          <w:tcPr>
            <w:tcW w:w="1216" w:type="dxa"/>
            <w:tcBorders>
              <w:top w:val="single" w:sz="4" w:space="0" w:color="auto"/>
              <w:left w:val="single" w:sz="4" w:space="0" w:color="auto"/>
              <w:bottom w:val="single" w:sz="4" w:space="0" w:color="auto"/>
              <w:right w:val="single" w:sz="4" w:space="0" w:color="auto"/>
            </w:tcBorders>
            <w:noWrap/>
            <w:hideMark/>
          </w:tcPr>
          <w:p w14:paraId="4C324AD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566</w:t>
            </w:r>
          </w:p>
        </w:tc>
        <w:tc>
          <w:tcPr>
            <w:tcW w:w="1343" w:type="dxa"/>
            <w:tcBorders>
              <w:top w:val="single" w:sz="4" w:space="0" w:color="auto"/>
              <w:left w:val="single" w:sz="4" w:space="0" w:color="auto"/>
              <w:bottom w:val="single" w:sz="4" w:space="0" w:color="auto"/>
              <w:right w:val="single" w:sz="4" w:space="0" w:color="auto"/>
            </w:tcBorders>
            <w:noWrap/>
            <w:hideMark/>
          </w:tcPr>
          <w:p w14:paraId="406D49C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122</w:t>
            </w:r>
          </w:p>
        </w:tc>
        <w:tc>
          <w:tcPr>
            <w:tcW w:w="1216" w:type="dxa"/>
            <w:tcBorders>
              <w:top w:val="single" w:sz="4" w:space="0" w:color="auto"/>
              <w:left w:val="single" w:sz="4" w:space="0" w:color="auto"/>
              <w:bottom w:val="single" w:sz="4" w:space="0" w:color="auto"/>
              <w:right w:val="single" w:sz="4" w:space="0" w:color="auto"/>
            </w:tcBorders>
            <w:noWrap/>
            <w:hideMark/>
          </w:tcPr>
          <w:p w14:paraId="3BB4624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76</w:t>
            </w:r>
          </w:p>
        </w:tc>
        <w:tc>
          <w:tcPr>
            <w:tcW w:w="990" w:type="dxa"/>
            <w:tcBorders>
              <w:top w:val="single" w:sz="4" w:space="0" w:color="auto"/>
              <w:left w:val="single" w:sz="4" w:space="0" w:color="auto"/>
              <w:bottom w:val="single" w:sz="4" w:space="0" w:color="auto"/>
              <w:right w:val="single" w:sz="4" w:space="0" w:color="auto"/>
            </w:tcBorders>
            <w:noWrap/>
            <w:hideMark/>
          </w:tcPr>
          <w:p w14:paraId="122B623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65</w:t>
            </w:r>
          </w:p>
        </w:tc>
        <w:tc>
          <w:tcPr>
            <w:tcW w:w="1170" w:type="dxa"/>
            <w:tcBorders>
              <w:top w:val="single" w:sz="4" w:space="0" w:color="auto"/>
              <w:left w:val="single" w:sz="4" w:space="0" w:color="auto"/>
              <w:bottom w:val="single" w:sz="4" w:space="0" w:color="auto"/>
              <w:right w:val="single" w:sz="4" w:space="0" w:color="auto"/>
            </w:tcBorders>
            <w:noWrap/>
            <w:hideMark/>
          </w:tcPr>
          <w:p w14:paraId="256292D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642</w:t>
            </w:r>
          </w:p>
        </w:tc>
        <w:tc>
          <w:tcPr>
            <w:tcW w:w="1844" w:type="dxa"/>
            <w:tcBorders>
              <w:top w:val="single" w:sz="4" w:space="0" w:color="auto"/>
              <w:left w:val="single" w:sz="4" w:space="0" w:color="auto"/>
              <w:bottom w:val="single" w:sz="4" w:space="0" w:color="auto"/>
              <w:right w:val="single" w:sz="4" w:space="0" w:color="auto"/>
            </w:tcBorders>
            <w:noWrap/>
            <w:hideMark/>
          </w:tcPr>
          <w:p w14:paraId="51A8464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187</w:t>
            </w:r>
          </w:p>
        </w:tc>
      </w:tr>
      <w:tr w:rsidR="005842E4" w14:paraId="0720E791"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0469DC1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 Madinah</w:t>
            </w:r>
          </w:p>
        </w:tc>
        <w:tc>
          <w:tcPr>
            <w:tcW w:w="960" w:type="dxa"/>
            <w:tcBorders>
              <w:top w:val="single" w:sz="4" w:space="0" w:color="auto"/>
              <w:left w:val="single" w:sz="4" w:space="0" w:color="auto"/>
              <w:bottom w:val="single" w:sz="4" w:space="0" w:color="auto"/>
              <w:right w:val="single" w:sz="4" w:space="0" w:color="auto"/>
            </w:tcBorders>
            <w:noWrap/>
            <w:hideMark/>
          </w:tcPr>
          <w:p w14:paraId="6C2DD9E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216" w:type="dxa"/>
            <w:tcBorders>
              <w:top w:val="single" w:sz="4" w:space="0" w:color="auto"/>
              <w:left w:val="single" w:sz="4" w:space="0" w:color="auto"/>
              <w:bottom w:val="single" w:sz="4" w:space="0" w:color="auto"/>
              <w:right w:val="single" w:sz="4" w:space="0" w:color="auto"/>
            </w:tcBorders>
            <w:noWrap/>
            <w:hideMark/>
          </w:tcPr>
          <w:p w14:paraId="360CD0C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573</w:t>
            </w:r>
          </w:p>
        </w:tc>
        <w:tc>
          <w:tcPr>
            <w:tcW w:w="1343" w:type="dxa"/>
            <w:tcBorders>
              <w:top w:val="single" w:sz="4" w:space="0" w:color="auto"/>
              <w:left w:val="single" w:sz="4" w:space="0" w:color="auto"/>
              <w:bottom w:val="single" w:sz="4" w:space="0" w:color="auto"/>
              <w:right w:val="single" w:sz="4" w:space="0" w:color="auto"/>
            </w:tcBorders>
            <w:noWrap/>
            <w:hideMark/>
          </w:tcPr>
          <w:p w14:paraId="24B1362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123</w:t>
            </w:r>
          </w:p>
        </w:tc>
        <w:tc>
          <w:tcPr>
            <w:tcW w:w="1216" w:type="dxa"/>
            <w:tcBorders>
              <w:top w:val="single" w:sz="4" w:space="0" w:color="auto"/>
              <w:left w:val="single" w:sz="4" w:space="0" w:color="auto"/>
              <w:bottom w:val="single" w:sz="4" w:space="0" w:color="auto"/>
              <w:right w:val="single" w:sz="4" w:space="0" w:color="auto"/>
            </w:tcBorders>
            <w:noWrap/>
            <w:hideMark/>
          </w:tcPr>
          <w:p w14:paraId="3D787A2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77</w:t>
            </w:r>
          </w:p>
        </w:tc>
        <w:tc>
          <w:tcPr>
            <w:tcW w:w="990" w:type="dxa"/>
            <w:tcBorders>
              <w:top w:val="single" w:sz="4" w:space="0" w:color="auto"/>
              <w:left w:val="single" w:sz="4" w:space="0" w:color="auto"/>
              <w:bottom w:val="single" w:sz="4" w:space="0" w:color="auto"/>
              <w:right w:val="single" w:sz="4" w:space="0" w:color="auto"/>
            </w:tcBorders>
            <w:noWrap/>
            <w:hideMark/>
          </w:tcPr>
          <w:p w14:paraId="51F2CBC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66</w:t>
            </w:r>
          </w:p>
        </w:tc>
        <w:tc>
          <w:tcPr>
            <w:tcW w:w="1170" w:type="dxa"/>
            <w:tcBorders>
              <w:top w:val="single" w:sz="4" w:space="0" w:color="auto"/>
              <w:left w:val="single" w:sz="4" w:space="0" w:color="auto"/>
              <w:bottom w:val="single" w:sz="4" w:space="0" w:color="auto"/>
              <w:right w:val="single" w:sz="4" w:space="0" w:color="auto"/>
            </w:tcBorders>
            <w:noWrap/>
            <w:hideMark/>
          </w:tcPr>
          <w:p w14:paraId="6A81B36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650</w:t>
            </w:r>
          </w:p>
        </w:tc>
        <w:tc>
          <w:tcPr>
            <w:tcW w:w="1844" w:type="dxa"/>
            <w:tcBorders>
              <w:top w:val="single" w:sz="4" w:space="0" w:color="auto"/>
              <w:left w:val="single" w:sz="4" w:space="0" w:color="auto"/>
              <w:bottom w:val="single" w:sz="4" w:space="0" w:color="auto"/>
              <w:right w:val="single" w:sz="4" w:space="0" w:color="auto"/>
            </w:tcBorders>
            <w:noWrap/>
            <w:hideMark/>
          </w:tcPr>
          <w:p w14:paraId="0CCBF2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189</w:t>
            </w:r>
          </w:p>
        </w:tc>
      </w:tr>
      <w:tr w:rsidR="005842E4" w14:paraId="2DFBE06C"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14606B9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Makkah</w:t>
            </w:r>
          </w:p>
        </w:tc>
        <w:tc>
          <w:tcPr>
            <w:tcW w:w="960" w:type="dxa"/>
            <w:tcBorders>
              <w:top w:val="single" w:sz="4" w:space="0" w:color="auto"/>
              <w:left w:val="single" w:sz="4" w:space="0" w:color="auto"/>
              <w:bottom w:val="single" w:sz="4" w:space="0" w:color="auto"/>
              <w:right w:val="single" w:sz="4" w:space="0" w:color="auto"/>
            </w:tcBorders>
            <w:noWrap/>
            <w:hideMark/>
          </w:tcPr>
          <w:p w14:paraId="520C1F0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w:t>
            </w:r>
          </w:p>
        </w:tc>
        <w:tc>
          <w:tcPr>
            <w:tcW w:w="1216" w:type="dxa"/>
            <w:tcBorders>
              <w:top w:val="single" w:sz="4" w:space="0" w:color="auto"/>
              <w:left w:val="single" w:sz="4" w:space="0" w:color="auto"/>
              <w:bottom w:val="single" w:sz="4" w:space="0" w:color="auto"/>
              <w:right w:val="single" w:sz="4" w:space="0" w:color="auto"/>
            </w:tcBorders>
            <w:noWrap/>
            <w:hideMark/>
          </w:tcPr>
          <w:p w14:paraId="360F189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170</w:t>
            </w:r>
          </w:p>
        </w:tc>
        <w:tc>
          <w:tcPr>
            <w:tcW w:w="1343" w:type="dxa"/>
            <w:tcBorders>
              <w:top w:val="single" w:sz="4" w:space="0" w:color="auto"/>
              <w:left w:val="single" w:sz="4" w:space="0" w:color="auto"/>
              <w:bottom w:val="single" w:sz="4" w:space="0" w:color="auto"/>
              <w:right w:val="single" w:sz="4" w:space="0" w:color="auto"/>
            </w:tcBorders>
            <w:noWrap/>
            <w:hideMark/>
          </w:tcPr>
          <w:p w14:paraId="7C2F833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w:t>
            </w:r>
          </w:p>
        </w:tc>
        <w:tc>
          <w:tcPr>
            <w:tcW w:w="1216" w:type="dxa"/>
            <w:tcBorders>
              <w:top w:val="single" w:sz="4" w:space="0" w:color="auto"/>
              <w:left w:val="single" w:sz="4" w:space="0" w:color="auto"/>
              <w:bottom w:val="single" w:sz="4" w:space="0" w:color="auto"/>
              <w:right w:val="single" w:sz="4" w:space="0" w:color="auto"/>
            </w:tcBorders>
            <w:noWrap/>
            <w:hideMark/>
          </w:tcPr>
          <w:p w14:paraId="45CABD5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w:t>
            </w:r>
          </w:p>
        </w:tc>
        <w:tc>
          <w:tcPr>
            <w:tcW w:w="990" w:type="dxa"/>
            <w:tcBorders>
              <w:top w:val="single" w:sz="4" w:space="0" w:color="auto"/>
              <w:left w:val="single" w:sz="4" w:space="0" w:color="auto"/>
              <w:bottom w:val="single" w:sz="4" w:space="0" w:color="auto"/>
              <w:right w:val="single" w:sz="4" w:space="0" w:color="auto"/>
            </w:tcBorders>
            <w:noWrap/>
            <w:hideMark/>
          </w:tcPr>
          <w:p w14:paraId="0DCD6D2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20</w:t>
            </w:r>
          </w:p>
        </w:tc>
        <w:tc>
          <w:tcPr>
            <w:tcW w:w="1170" w:type="dxa"/>
            <w:tcBorders>
              <w:top w:val="single" w:sz="4" w:space="0" w:color="auto"/>
              <w:left w:val="single" w:sz="4" w:space="0" w:color="auto"/>
              <w:bottom w:val="single" w:sz="4" w:space="0" w:color="auto"/>
              <w:right w:val="single" w:sz="4" w:space="0" w:color="auto"/>
            </w:tcBorders>
            <w:noWrap/>
            <w:hideMark/>
          </w:tcPr>
          <w:p w14:paraId="1CE1F2E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193</w:t>
            </w:r>
          </w:p>
        </w:tc>
        <w:tc>
          <w:tcPr>
            <w:tcW w:w="1844" w:type="dxa"/>
            <w:tcBorders>
              <w:top w:val="single" w:sz="4" w:space="0" w:color="auto"/>
              <w:left w:val="single" w:sz="4" w:space="0" w:color="auto"/>
              <w:bottom w:val="single" w:sz="4" w:space="0" w:color="auto"/>
              <w:right w:val="single" w:sz="4" w:space="0" w:color="auto"/>
            </w:tcBorders>
            <w:noWrap/>
            <w:hideMark/>
          </w:tcPr>
          <w:p w14:paraId="23311B9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57</w:t>
            </w:r>
          </w:p>
        </w:tc>
      </w:tr>
      <w:tr w:rsidR="005842E4" w14:paraId="7B4B0B8B"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32DD590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Eastern Province</w:t>
            </w:r>
          </w:p>
        </w:tc>
        <w:tc>
          <w:tcPr>
            <w:tcW w:w="960" w:type="dxa"/>
            <w:tcBorders>
              <w:top w:val="single" w:sz="4" w:space="0" w:color="auto"/>
              <w:left w:val="single" w:sz="4" w:space="0" w:color="auto"/>
              <w:bottom w:val="single" w:sz="4" w:space="0" w:color="auto"/>
              <w:right w:val="single" w:sz="4" w:space="0" w:color="auto"/>
            </w:tcBorders>
            <w:noWrap/>
            <w:hideMark/>
          </w:tcPr>
          <w:p w14:paraId="70ADAB3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w:t>
            </w:r>
          </w:p>
        </w:tc>
        <w:tc>
          <w:tcPr>
            <w:tcW w:w="1216" w:type="dxa"/>
            <w:tcBorders>
              <w:top w:val="single" w:sz="4" w:space="0" w:color="auto"/>
              <w:left w:val="single" w:sz="4" w:space="0" w:color="auto"/>
              <w:bottom w:val="single" w:sz="4" w:space="0" w:color="auto"/>
              <w:right w:val="single" w:sz="4" w:space="0" w:color="auto"/>
            </w:tcBorders>
            <w:noWrap/>
            <w:hideMark/>
          </w:tcPr>
          <w:p w14:paraId="518F8F3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1722</w:t>
            </w:r>
          </w:p>
        </w:tc>
        <w:tc>
          <w:tcPr>
            <w:tcW w:w="1343" w:type="dxa"/>
            <w:tcBorders>
              <w:top w:val="single" w:sz="4" w:space="0" w:color="auto"/>
              <w:left w:val="single" w:sz="4" w:space="0" w:color="auto"/>
              <w:bottom w:val="single" w:sz="4" w:space="0" w:color="auto"/>
              <w:right w:val="single" w:sz="4" w:space="0" w:color="auto"/>
            </w:tcBorders>
            <w:noWrap/>
            <w:hideMark/>
          </w:tcPr>
          <w:p w14:paraId="0B7515A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371</w:t>
            </w:r>
          </w:p>
        </w:tc>
        <w:tc>
          <w:tcPr>
            <w:tcW w:w="1216" w:type="dxa"/>
            <w:tcBorders>
              <w:top w:val="single" w:sz="4" w:space="0" w:color="auto"/>
              <w:left w:val="single" w:sz="4" w:space="0" w:color="auto"/>
              <w:bottom w:val="single" w:sz="4" w:space="0" w:color="auto"/>
              <w:right w:val="single" w:sz="4" w:space="0" w:color="auto"/>
            </w:tcBorders>
            <w:noWrap/>
            <w:hideMark/>
          </w:tcPr>
          <w:p w14:paraId="25CC931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230</w:t>
            </w:r>
          </w:p>
        </w:tc>
        <w:tc>
          <w:tcPr>
            <w:tcW w:w="990" w:type="dxa"/>
            <w:tcBorders>
              <w:top w:val="single" w:sz="4" w:space="0" w:color="auto"/>
              <w:left w:val="single" w:sz="4" w:space="0" w:color="auto"/>
              <w:bottom w:val="single" w:sz="4" w:space="0" w:color="auto"/>
              <w:right w:val="single" w:sz="4" w:space="0" w:color="auto"/>
            </w:tcBorders>
            <w:noWrap/>
            <w:hideMark/>
          </w:tcPr>
          <w:p w14:paraId="3434AB8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198</w:t>
            </w:r>
          </w:p>
        </w:tc>
        <w:tc>
          <w:tcPr>
            <w:tcW w:w="1170" w:type="dxa"/>
            <w:tcBorders>
              <w:top w:val="single" w:sz="4" w:space="0" w:color="auto"/>
              <w:left w:val="single" w:sz="4" w:space="0" w:color="auto"/>
              <w:bottom w:val="single" w:sz="4" w:space="0" w:color="auto"/>
              <w:right w:val="single" w:sz="4" w:space="0" w:color="auto"/>
            </w:tcBorders>
            <w:noWrap/>
            <w:hideMark/>
          </w:tcPr>
          <w:p w14:paraId="63A46A4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1952</w:t>
            </w:r>
          </w:p>
        </w:tc>
        <w:tc>
          <w:tcPr>
            <w:tcW w:w="1844" w:type="dxa"/>
            <w:tcBorders>
              <w:top w:val="single" w:sz="4" w:space="0" w:color="auto"/>
              <w:left w:val="single" w:sz="4" w:space="0" w:color="auto"/>
              <w:bottom w:val="single" w:sz="4" w:space="0" w:color="auto"/>
              <w:right w:val="single" w:sz="4" w:space="0" w:color="auto"/>
            </w:tcBorders>
            <w:noWrap/>
            <w:hideMark/>
          </w:tcPr>
          <w:p w14:paraId="358CF2C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569</w:t>
            </w:r>
          </w:p>
        </w:tc>
      </w:tr>
      <w:tr w:rsidR="005842E4" w14:paraId="131C1D2C"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0906BD6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Al-Qassim</w:t>
            </w:r>
          </w:p>
        </w:tc>
        <w:tc>
          <w:tcPr>
            <w:tcW w:w="960" w:type="dxa"/>
            <w:tcBorders>
              <w:top w:val="single" w:sz="4" w:space="0" w:color="auto"/>
              <w:left w:val="single" w:sz="4" w:space="0" w:color="auto"/>
              <w:bottom w:val="single" w:sz="4" w:space="0" w:color="auto"/>
              <w:right w:val="single" w:sz="4" w:space="0" w:color="auto"/>
            </w:tcBorders>
            <w:noWrap/>
            <w:hideMark/>
          </w:tcPr>
          <w:p w14:paraId="629BB25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0A1487E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50AD439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2205C51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52665AF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3BBCB99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52293D2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65BB6B2D"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3897DB34"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Bahah</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34C138E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73B0B5A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5D36C42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190FF46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141F939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1A6D097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6410709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119225D0"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620B8AE4"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Ha'il</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6FDC3C1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6EFA5AC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157A74D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15E22F0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213228B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1C507E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570FBB5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7E99565C"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2EC15B0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Northern Borders</w:t>
            </w:r>
          </w:p>
        </w:tc>
        <w:tc>
          <w:tcPr>
            <w:tcW w:w="960" w:type="dxa"/>
            <w:tcBorders>
              <w:top w:val="single" w:sz="4" w:space="0" w:color="auto"/>
              <w:left w:val="single" w:sz="4" w:space="0" w:color="auto"/>
              <w:bottom w:val="single" w:sz="4" w:space="0" w:color="auto"/>
              <w:right w:val="single" w:sz="4" w:space="0" w:color="auto"/>
            </w:tcBorders>
            <w:noWrap/>
            <w:hideMark/>
          </w:tcPr>
          <w:p w14:paraId="4ACEEE4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7F9894A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1B8BA99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57F6582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20A1B16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761EB9D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13CB702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1285A769"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5B93065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Jizan</w:t>
            </w:r>
          </w:p>
        </w:tc>
        <w:tc>
          <w:tcPr>
            <w:tcW w:w="960" w:type="dxa"/>
            <w:tcBorders>
              <w:top w:val="single" w:sz="4" w:space="0" w:color="auto"/>
              <w:left w:val="single" w:sz="4" w:space="0" w:color="auto"/>
              <w:bottom w:val="single" w:sz="4" w:space="0" w:color="auto"/>
              <w:right w:val="single" w:sz="4" w:space="0" w:color="auto"/>
            </w:tcBorders>
            <w:noWrap/>
            <w:hideMark/>
          </w:tcPr>
          <w:p w14:paraId="3267792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w:t>
            </w:r>
          </w:p>
        </w:tc>
        <w:tc>
          <w:tcPr>
            <w:tcW w:w="1216" w:type="dxa"/>
            <w:tcBorders>
              <w:top w:val="single" w:sz="4" w:space="0" w:color="auto"/>
              <w:left w:val="single" w:sz="4" w:space="0" w:color="auto"/>
              <w:bottom w:val="single" w:sz="4" w:space="0" w:color="auto"/>
              <w:right w:val="single" w:sz="4" w:space="0" w:color="auto"/>
            </w:tcBorders>
            <w:noWrap/>
            <w:hideMark/>
          </w:tcPr>
          <w:p w14:paraId="469F611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w:t>
            </w:r>
          </w:p>
        </w:tc>
        <w:tc>
          <w:tcPr>
            <w:tcW w:w="1343" w:type="dxa"/>
            <w:tcBorders>
              <w:top w:val="single" w:sz="4" w:space="0" w:color="auto"/>
              <w:left w:val="single" w:sz="4" w:space="0" w:color="auto"/>
              <w:bottom w:val="single" w:sz="4" w:space="0" w:color="auto"/>
              <w:right w:val="single" w:sz="4" w:space="0" w:color="auto"/>
            </w:tcBorders>
            <w:noWrap/>
            <w:hideMark/>
          </w:tcPr>
          <w:p w14:paraId="6B5CE20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w:t>
            </w:r>
          </w:p>
        </w:tc>
        <w:tc>
          <w:tcPr>
            <w:tcW w:w="1216" w:type="dxa"/>
            <w:tcBorders>
              <w:top w:val="single" w:sz="4" w:space="0" w:color="auto"/>
              <w:left w:val="single" w:sz="4" w:space="0" w:color="auto"/>
              <w:bottom w:val="single" w:sz="4" w:space="0" w:color="auto"/>
              <w:right w:val="single" w:sz="4" w:space="0" w:color="auto"/>
            </w:tcBorders>
            <w:noWrap/>
            <w:hideMark/>
          </w:tcPr>
          <w:p w14:paraId="65593B7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990" w:type="dxa"/>
            <w:tcBorders>
              <w:top w:val="single" w:sz="4" w:space="0" w:color="auto"/>
              <w:left w:val="single" w:sz="4" w:space="0" w:color="auto"/>
              <w:bottom w:val="single" w:sz="4" w:space="0" w:color="auto"/>
              <w:right w:val="single" w:sz="4" w:space="0" w:color="auto"/>
            </w:tcBorders>
            <w:noWrap/>
            <w:hideMark/>
          </w:tcPr>
          <w:p w14:paraId="2B4AC17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170" w:type="dxa"/>
            <w:tcBorders>
              <w:top w:val="single" w:sz="4" w:space="0" w:color="auto"/>
              <w:left w:val="single" w:sz="4" w:space="0" w:color="auto"/>
              <w:bottom w:val="single" w:sz="4" w:space="0" w:color="auto"/>
              <w:right w:val="single" w:sz="4" w:space="0" w:color="auto"/>
            </w:tcBorders>
            <w:noWrap/>
            <w:hideMark/>
          </w:tcPr>
          <w:p w14:paraId="6DEC8A0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38</w:t>
            </w:r>
          </w:p>
        </w:tc>
        <w:tc>
          <w:tcPr>
            <w:tcW w:w="1844" w:type="dxa"/>
            <w:tcBorders>
              <w:top w:val="single" w:sz="4" w:space="0" w:color="auto"/>
              <w:left w:val="single" w:sz="4" w:space="0" w:color="auto"/>
              <w:bottom w:val="single" w:sz="4" w:space="0" w:color="auto"/>
              <w:right w:val="single" w:sz="4" w:space="0" w:color="auto"/>
            </w:tcBorders>
            <w:noWrap/>
            <w:hideMark/>
          </w:tcPr>
          <w:p w14:paraId="2679322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w:t>
            </w:r>
          </w:p>
        </w:tc>
      </w:tr>
      <w:tr w:rsidR="005842E4" w14:paraId="57C3C1BA"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2C742530"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Jawf</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7EC3653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290E294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43" w:type="dxa"/>
            <w:tcBorders>
              <w:top w:val="single" w:sz="4" w:space="0" w:color="auto"/>
              <w:left w:val="single" w:sz="4" w:space="0" w:color="auto"/>
              <w:bottom w:val="single" w:sz="4" w:space="0" w:color="auto"/>
              <w:right w:val="single" w:sz="4" w:space="0" w:color="auto"/>
            </w:tcBorders>
            <w:noWrap/>
            <w:hideMark/>
          </w:tcPr>
          <w:p w14:paraId="1F5325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16" w:type="dxa"/>
            <w:tcBorders>
              <w:top w:val="single" w:sz="4" w:space="0" w:color="auto"/>
              <w:left w:val="single" w:sz="4" w:space="0" w:color="auto"/>
              <w:bottom w:val="single" w:sz="4" w:space="0" w:color="auto"/>
              <w:right w:val="single" w:sz="4" w:space="0" w:color="auto"/>
            </w:tcBorders>
            <w:noWrap/>
            <w:hideMark/>
          </w:tcPr>
          <w:p w14:paraId="53D0624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990" w:type="dxa"/>
            <w:tcBorders>
              <w:top w:val="single" w:sz="4" w:space="0" w:color="auto"/>
              <w:left w:val="single" w:sz="4" w:space="0" w:color="auto"/>
              <w:bottom w:val="single" w:sz="4" w:space="0" w:color="auto"/>
              <w:right w:val="single" w:sz="4" w:space="0" w:color="auto"/>
            </w:tcBorders>
            <w:noWrap/>
            <w:hideMark/>
          </w:tcPr>
          <w:p w14:paraId="7C570BC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170" w:type="dxa"/>
            <w:tcBorders>
              <w:top w:val="single" w:sz="4" w:space="0" w:color="auto"/>
              <w:left w:val="single" w:sz="4" w:space="0" w:color="auto"/>
              <w:bottom w:val="single" w:sz="4" w:space="0" w:color="auto"/>
              <w:right w:val="single" w:sz="4" w:space="0" w:color="auto"/>
            </w:tcBorders>
            <w:noWrap/>
            <w:hideMark/>
          </w:tcPr>
          <w:p w14:paraId="326C47F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844" w:type="dxa"/>
            <w:tcBorders>
              <w:top w:val="single" w:sz="4" w:space="0" w:color="auto"/>
              <w:left w:val="single" w:sz="4" w:space="0" w:color="auto"/>
              <w:bottom w:val="single" w:sz="4" w:space="0" w:color="auto"/>
              <w:right w:val="single" w:sz="4" w:space="0" w:color="auto"/>
            </w:tcBorders>
            <w:noWrap/>
            <w:hideMark/>
          </w:tcPr>
          <w:p w14:paraId="7F115A5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3C9382B3" w14:textId="77777777" w:rsidTr="00BF2F0C">
        <w:trPr>
          <w:trHeight w:val="330"/>
        </w:trPr>
        <w:tc>
          <w:tcPr>
            <w:tcW w:w="1606" w:type="dxa"/>
            <w:tcBorders>
              <w:top w:val="single" w:sz="4" w:space="0" w:color="auto"/>
              <w:left w:val="single" w:sz="4" w:space="0" w:color="auto"/>
              <w:bottom w:val="single" w:sz="4" w:space="0" w:color="auto"/>
              <w:right w:val="single" w:sz="4" w:space="0" w:color="auto"/>
            </w:tcBorders>
            <w:noWrap/>
            <w:hideMark/>
          </w:tcPr>
          <w:p w14:paraId="0BEBDBC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Najran</w:t>
            </w:r>
          </w:p>
        </w:tc>
        <w:tc>
          <w:tcPr>
            <w:tcW w:w="960" w:type="dxa"/>
            <w:tcBorders>
              <w:top w:val="single" w:sz="4" w:space="0" w:color="auto"/>
              <w:left w:val="single" w:sz="4" w:space="0" w:color="auto"/>
              <w:bottom w:val="single" w:sz="4" w:space="0" w:color="auto"/>
              <w:right w:val="single" w:sz="4" w:space="0" w:color="auto"/>
            </w:tcBorders>
            <w:noWrap/>
            <w:hideMark/>
          </w:tcPr>
          <w:p w14:paraId="725C428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216" w:type="dxa"/>
            <w:tcBorders>
              <w:top w:val="single" w:sz="4" w:space="0" w:color="auto"/>
              <w:left w:val="single" w:sz="4" w:space="0" w:color="auto"/>
              <w:bottom w:val="single" w:sz="4" w:space="0" w:color="auto"/>
              <w:right w:val="single" w:sz="4" w:space="0" w:color="auto"/>
            </w:tcBorders>
            <w:noWrap/>
            <w:hideMark/>
          </w:tcPr>
          <w:p w14:paraId="5870327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275</w:t>
            </w:r>
          </w:p>
        </w:tc>
        <w:tc>
          <w:tcPr>
            <w:tcW w:w="1343" w:type="dxa"/>
            <w:tcBorders>
              <w:top w:val="single" w:sz="4" w:space="0" w:color="auto"/>
              <w:left w:val="single" w:sz="4" w:space="0" w:color="auto"/>
              <w:bottom w:val="single" w:sz="4" w:space="0" w:color="auto"/>
              <w:right w:val="single" w:sz="4" w:space="0" w:color="auto"/>
            </w:tcBorders>
            <w:noWrap/>
            <w:hideMark/>
          </w:tcPr>
          <w:p w14:paraId="634C025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59</w:t>
            </w:r>
          </w:p>
        </w:tc>
        <w:tc>
          <w:tcPr>
            <w:tcW w:w="1216" w:type="dxa"/>
            <w:tcBorders>
              <w:top w:val="single" w:sz="4" w:space="0" w:color="auto"/>
              <w:left w:val="single" w:sz="4" w:space="0" w:color="auto"/>
              <w:bottom w:val="single" w:sz="4" w:space="0" w:color="auto"/>
              <w:right w:val="single" w:sz="4" w:space="0" w:color="auto"/>
            </w:tcBorders>
            <w:noWrap/>
            <w:hideMark/>
          </w:tcPr>
          <w:p w14:paraId="76020BD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w:t>
            </w:r>
          </w:p>
        </w:tc>
        <w:tc>
          <w:tcPr>
            <w:tcW w:w="990" w:type="dxa"/>
            <w:tcBorders>
              <w:top w:val="single" w:sz="4" w:space="0" w:color="auto"/>
              <w:left w:val="single" w:sz="4" w:space="0" w:color="auto"/>
              <w:bottom w:val="single" w:sz="4" w:space="0" w:color="auto"/>
              <w:right w:val="single" w:sz="4" w:space="0" w:color="auto"/>
            </w:tcBorders>
            <w:noWrap/>
            <w:hideMark/>
          </w:tcPr>
          <w:p w14:paraId="478DCB5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w:t>
            </w:r>
          </w:p>
        </w:tc>
        <w:tc>
          <w:tcPr>
            <w:tcW w:w="1170" w:type="dxa"/>
            <w:tcBorders>
              <w:top w:val="single" w:sz="4" w:space="0" w:color="auto"/>
              <w:left w:val="single" w:sz="4" w:space="0" w:color="auto"/>
              <w:bottom w:val="single" w:sz="4" w:space="0" w:color="auto"/>
              <w:right w:val="single" w:sz="4" w:space="0" w:color="auto"/>
            </w:tcBorders>
            <w:noWrap/>
            <w:hideMark/>
          </w:tcPr>
          <w:p w14:paraId="25BFA3E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312</w:t>
            </w:r>
          </w:p>
        </w:tc>
        <w:tc>
          <w:tcPr>
            <w:tcW w:w="1844" w:type="dxa"/>
            <w:tcBorders>
              <w:top w:val="single" w:sz="4" w:space="0" w:color="auto"/>
              <w:left w:val="single" w:sz="4" w:space="0" w:color="auto"/>
              <w:bottom w:val="single" w:sz="4" w:space="0" w:color="auto"/>
              <w:right w:val="single" w:sz="4" w:space="0" w:color="auto"/>
            </w:tcBorders>
            <w:noWrap/>
            <w:hideMark/>
          </w:tcPr>
          <w:p w14:paraId="43FF84B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91</w:t>
            </w:r>
          </w:p>
        </w:tc>
      </w:tr>
      <w:tr w:rsidR="005842E4" w14:paraId="52FC9E71" w14:textId="77777777" w:rsidTr="00BF2F0C">
        <w:trPr>
          <w:trHeight w:val="315"/>
        </w:trPr>
        <w:tc>
          <w:tcPr>
            <w:tcW w:w="1606" w:type="dxa"/>
            <w:tcBorders>
              <w:top w:val="single" w:sz="4" w:space="0" w:color="auto"/>
              <w:left w:val="single" w:sz="4" w:space="0" w:color="auto"/>
              <w:bottom w:val="single" w:sz="4" w:space="0" w:color="auto"/>
              <w:right w:val="single" w:sz="4" w:space="0" w:color="auto"/>
            </w:tcBorders>
            <w:noWrap/>
            <w:hideMark/>
          </w:tcPr>
          <w:p w14:paraId="0209F089"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Asir</w:t>
            </w:r>
            <w:proofErr w:type="spellEnd"/>
          </w:p>
        </w:tc>
        <w:tc>
          <w:tcPr>
            <w:tcW w:w="960" w:type="dxa"/>
            <w:tcBorders>
              <w:top w:val="single" w:sz="4" w:space="0" w:color="auto"/>
              <w:left w:val="single" w:sz="4" w:space="0" w:color="auto"/>
              <w:bottom w:val="single" w:sz="4" w:space="0" w:color="auto"/>
              <w:right w:val="single" w:sz="4" w:space="0" w:color="auto"/>
            </w:tcBorders>
            <w:noWrap/>
            <w:hideMark/>
          </w:tcPr>
          <w:p w14:paraId="525D73A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w:t>
            </w:r>
          </w:p>
        </w:tc>
        <w:tc>
          <w:tcPr>
            <w:tcW w:w="1216" w:type="dxa"/>
            <w:tcBorders>
              <w:top w:val="single" w:sz="4" w:space="0" w:color="auto"/>
              <w:left w:val="single" w:sz="4" w:space="0" w:color="auto"/>
              <w:bottom w:val="single" w:sz="4" w:space="0" w:color="auto"/>
              <w:right w:val="single" w:sz="4" w:space="0" w:color="auto"/>
            </w:tcBorders>
            <w:noWrap/>
            <w:hideMark/>
          </w:tcPr>
          <w:p w14:paraId="662A131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454</w:t>
            </w:r>
          </w:p>
        </w:tc>
        <w:tc>
          <w:tcPr>
            <w:tcW w:w="1343" w:type="dxa"/>
            <w:tcBorders>
              <w:top w:val="single" w:sz="4" w:space="0" w:color="auto"/>
              <w:left w:val="single" w:sz="4" w:space="0" w:color="auto"/>
              <w:bottom w:val="single" w:sz="4" w:space="0" w:color="auto"/>
              <w:right w:val="single" w:sz="4" w:space="0" w:color="auto"/>
            </w:tcBorders>
            <w:noWrap/>
            <w:hideMark/>
          </w:tcPr>
          <w:p w14:paraId="772AAF1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98</w:t>
            </w:r>
          </w:p>
        </w:tc>
        <w:tc>
          <w:tcPr>
            <w:tcW w:w="1216" w:type="dxa"/>
            <w:tcBorders>
              <w:top w:val="single" w:sz="4" w:space="0" w:color="auto"/>
              <w:left w:val="single" w:sz="4" w:space="0" w:color="auto"/>
              <w:bottom w:val="single" w:sz="4" w:space="0" w:color="auto"/>
              <w:right w:val="single" w:sz="4" w:space="0" w:color="auto"/>
            </w:tcBorders>
            <w:noWrap/>
            <w:hideMark/>
          </w:tcPr>
          <w:p w14:paraId="3B8C1AD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61</w:t>
            </w:r>
          </w:p>
        </w:tc>
        <w:tc>
          <w:tcPr>
            <w:tcW w:w="990" w:type="dxa"/>
            <w:tcBorders>
              <w:top w:val="single" w:sz="4" w:space="0" w:color="auto"/>
              <w:left w:val="single" w:sz="4" w:space="0" w:color="auto"/>
              <w:bottom w:val="single" w:sz="4" w:space="0" w:color="auto"/>
              <w:right w:val="single" w:sz="4" w:space="0" w:color="auto"/>
            </w:tcBorders>
            <w:noWrap/>
            <w:hideMark/>
          </w:tcPr>
          <w:p w14:paraId="08EE6BF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53</w:t>
            </w:r>
          </w:p>
        </w:tc>
        <w:tc>
          <w:tcPr>
            <w:tcW w:w="1170" w:type="dxa"/>
            <w:tcBorders>
              <w:top w:val="single" w:sz="4" w:space="0" w:color="auto"/>
              <w:left w:val="single" w:sz="4" w:space="0" w:color="auto"/>
              <w:bottom w:val="single" w:sz="4" w:space="0" w:color="auto"/>
              <w:right w:val="single" w:sz="4" w:space="0" w:color="auto"/>
            </w:tcBorders>
            <w:noWrap/>
            <w:hideMark/>
          </w:tcPr>
          <w:p w14:paraId="3DB0D5F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515</w:t>
            </w:r>
          </w:p>
        </w:tc>
        <w:tc>
          <w:tcPr>
            <w:tcW w:w="1844" w:type="dxa"/>
            <w:tcBorders>
              <w:top w:val="single" w:sz="4" w:space="0" w:color="auto"/>
              <w:left w:val="single" w:sz="4" w:space="0" w:color="auto"/>
              <w:bottom w:val="single" w:sz="4" w:space="0" w:color="auto"/>
              <w:right w:val="single" w:sz="4" w:space="0" w:color="auto"/>
            </w:tcBorders>
            <w:noWrap/>
            <w:hideMark/>
          </w:tcPr>
          <w:p w14:paraId="440D72D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151</w:t>
            </w:r>
          </w:p>
        </w:tc>
      </w:tr>
      <w:tr w:rsidR="005842E4" w14:paraId="078D7BEB" w14:textId="77777777" w:rsidTr="00BF2F0C">
        <w:trPr>
          <w:trHeight w:val="315"/>
        </w:trPr>
        <w:tc>
          <w:tcPr>
            <w:tcW w:w="1606" w:type="dxa"/>
            <w:tcBorders>
              <w:top w:val="single" w:sz="4" w:space="0" w:color="auto"/>
              <w:left w:val="single" w:sz="4" w:space="0" w:color="auto"/>
              <w:bottom w:val="single" w:sz="4" w:space="0" w:color="auto"/>
              <w:right w:val="single" w:sz="4" w:space="0" w:color="auto"/>
            </w:tcBorders>
            <w:noWrap/>
            <w:hideMark/>
          </w:tcPr>
          <w:p w14:paraId="40572F3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w:t>
            </w:r>
          </w:p>
        </w:tc>
        <w:tc>
          <w:tcPr>
            <w:tcW w:w="960" w:type="dxa"/>
            <w:tcBorders>
              <w:top w:val="single" w:sz="4" w:space="0" w:color="auto"/>
              <w:left w:val="single" w:sz="4" w:space="0" w:color="auto"/>
              <w:bottom w:val="single" w:sz="4" w:space="0" w:color="auto"/>
              <w:right w:val="single" w:sz="4" w:space="0" w:color="auto"/>
            </w:tcBorders>
            <w:noWrap/>
            <w:hideMark/>
          </w:tcPr>
          <w:p w14:paraId="6BBA31FB"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47</w:t>
            </w:r>
          </w:p>
        </w:tc>
        <w:tc>
          <w:tcPr>
            <w:tcW w:w="1216" w:type="dxa"/>
            <w:tcBorders>
              <w:top w:val="single" w:sz="4" w:space="0" w:color="auto"/>
              <w:left w:val="single" w:sz="4" w:space="0" w:color="auto"/>
              <w:bottom w:val="single" w:sz="4" w:space="0" w:color="auto"/>
              <w:right w:val="single" w:sz="4" w:space="0" w:color="auto"/>
            </w:tcBorders>
            <w:noWrap/>
            <w:hideMark/>
          </w:tcPr>
          <w:p w14:paraId="611C5973"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11169</w:t>
            </w:r>
          </w:p>
        </w:tc>
        <w:tc>
          <w:tcPr>
            <w:tcW w:w="1343" w:type="dxa"/>
            <w:tcBorders>
              <w:top w:val="single" w:sz="4" w:space="0" w:color="auto"/>
              <w:left w:val="single" w:sz="4" w:space="0" w:color="auto"/>
              <w:bottom w:val="single" w:sz="4" w:space="0" w:color="auto"/>
              <w:right w:val="single" w:sz="4" w:space="0" w:color="auto"/>
            </w:tcBorders>
            <w:noWrap/>
            <w:hideMark/>
          </w:tcPr>
          <w:p w14:paraId="17A086F1"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2404</w:t>
            </w:r>
          </w:p>
        </w:tc>
        <w:tc>
          <w:tcPr>
            <w:tcW w:w="1216" w:type="dxa"/>
            <w:tcBorders>
              <w:top w:val="single" w:sz="4" w:space="0" w:color="auto"/>
              <w:left w:val="single" w:sz="4" w:space="0" w:color="auto"/>
              <w:bottom w:val="single" w:sz="4" w:space="0" w:color="auto"/>
              <w:right w:val="single" w:sz="4" w:space="0" w:color="auto"/>
            </w:tcBorders>
            <w:noWrap/>
            <w:hideMark/>
          </w:tcPr>
          <w:p w14:paraId="04659030"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1493</w:t>
            </w:r>
          </w:p>
        </w:tc>
        <w:tc>
          <w:tcPr>
            <w:tcW w:w="990" w:type="dxa"/>
            <w:tcBorders>
              <w:top w:val="single" w:sz="4" w:space="0" w:color="auto"/>
              <w:left w:val="single" w:sz="4" w:space="0" w:color="auto"/>
              <w:bottom w:val="single" w:sz="4" w:space="0" w:color="auto"/>
              <w:right w:val="single" w:sz="4" w:space="0" w:color="auto"/>
            </w:tcBorders>
            <w:noWrap/>
            <w:hideMark/>
          </w:tcPr>
          <w:p w14:paraId="47594399"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1285</w:t>
            </w:r>
          </w:p>
        </w:tc>
        <w:tc>
          <w:tcPr>
            <w:tcW w:w="1170" w:type="dxa"/>
            <w:tcBorders>
              <w:top w:val="single" w:sz="4" w:space="0" w:color="auto"/>
              <w:left w:val="single" w:sz="4" w:space="0" w:color="auto"/>
              <w:bottom w:val="single" w:sz="4" w:space="0" w:color="auto"/>
              <w:right w:val="single" w:sz="4" w:space="0" w:color="auto"/>
            </w:tcBorders>
            <w:noWrap/>
            <w:hideMark/>
          </w:tcPr>
          <w:p w14:paraId="46832D55"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12662</w:t>
            </w:r>
          </w:p>
        </w:tc>
        <w:tc>
          <w:tcPr>
            <w:tcW w:w="1844" w:type="dxa"/>
            <w:tcBorders>
              <w:top w:val="single" w:sz="4" w:space="0" w:color="auto"/>
              <w:left w:val="single" w:sz="4" w:space="0" w:color="auto"/>
              <w:bottom w:val="single" w:sz="4" w:space="0" w:color="auto"/>
              <w:right w:val="single" w:sz="4" w:space="0" w:color="auto"/>
            </w:tcBorders>
            <w:noWrap/>
            <w:hideMark/>
          </w:tcPr>
          <w:p w14:paraId="316EED2C"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3689</w:t>
            </w:r>
          </w:p>
        </w:tc>
      </w:tr>
    </w:tbl>
    <w:p w14:paraId="59D78C0F" w14:textId="77777777" w:rsidR="005842E4" w:rsidRDefault="005842E4" w:rsidP="006E34BB">
      <w:pPr>
        <w:spacing w:after="0" w:line="360" w:lineRule="auto"/>
        <w:jc w:val="both"/>
      </w:pP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LINK Excel.Sheet.12 "C:\\Users\\Guya\\Desktop\\KSA_Staffing_Plan.xlsx" "Sheet2!R2C16:R23C21" \a \f 5 \h  \* MERGEFORMAT </w:instrText>
      </w:r>
      <w:r>
        <w:rPr>
          <w:rFonts w:ascii="Times New Roman" w:eastAsiaTheme="minorEastAsia" w:hAnsi="Times New Roman" w:cs="Times New Roman"/>
          <w:sz w:val="24"/>
          <w:szCs w:val="24"/>
        </w:rPr>
        <w:fldChar w:fldCharType="separate"/>
      </w:r>
    </w:p>
    <w:p w14:paraId="3D25034D" w14:textId="77777777" w:rsidR="005842E4" w:rsidRDefault="005842E4" w:rsidP="006E34BB">
      <w:pPr>
        <w:pStyle w:val="Caption"/>
        <w:keepNext/>
        <w:spacing w:line="360" w:lineRule="auto"/>
        <w:jc w:val="both"/>
      </w:pPr>
      <w:r>
        <w:t xml:space="preserve">Table </w:t>
      </w:r>
      <w:r>
        <w:fldChar w:fldCharType="begin"/>
      </w:r>
      <w:r>
        <w:instrText xml:space="preserve"> SEQ Table \* ARABIC </w:instrText>
      </w:r>
      <w:r>
        <w:fldChar w:fldCharType="separate"/>
      </w:r>
      <w:r>
        <w:rPr>
          <w:noProof/>
        </w:rPr>
        <w:t>4</w:t>
      </w:r>
      <w:r>
        <w:rPr>
          <w:noProof/>
        </w:rPr>
        <w:fldChar w:fldCharType="end"/>
      </w:r>
      <w:r>
        <w:t>: Total RTs needed in Private Hospitals in KSA</w:t>
      </w:r>
    </w:p>
    <w:tbl>
      <w:tblPr>
        <w:tblStyle w:val="TableGrid"/>
        <w:tblW w:w="9350" w:type="dxa"/>
        <w:tblInd w:w="0" w:type="dxa"/>
        <w:tblLook w:val="04A0" w:firstRow="1" w:lastRow="0" w:firstColumn="1" w:lastColumn="0" w:noHBand="0" w:noVBand="1"/>
      </w:tblPr>
      <w:tblGrid>
        <w:gridCol w:w="2152"/>
        <w:gridCol w:w="897"/>
        <w:gridCol w:w="1308"/>
        <w:gridCol w:w="1388"/>
        <w:gridCol w:w="1308"/>
        <w:gridCol w:w="1286"/>
        <w:gridCol w:w="1308"/>
      </w:tblGrid>
      <w:tr w:rsidR="005842E4" w14:paraId="0EB47589" w14:textId="77777777" w:rsidTr="00BF2F0C">
        <w:trPr>
          <w:trHeight w:val="881"/>
        </w:trPr>
        <w:tc>
          <w:tcPr>
            <w:tcW w:w="2152" w:type="dxa"/>
            <w:tcBorders>
              <w:top w:val="single" w:sz="4" w:space="0" w:color="auto"/>
              <w:left w:val="single" w:sz="4" w:space="0" w:color="auto"/>
              <w:bottom w:val="single" w:sz="4" w:space="0" w:color="auto"/>
              <w:right w:val="single" w:sz="4" w:space="0" w:color="auto"/>
            </w:tcBorders>
            <w:noWrap/>
            <w:hideMark/>
          </w:tcPr>
          <w:p w14:paraId="4FFC715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KSA Medical Administrative Regions</w:t>
            </w:r>
          </w:p>
        </w:tc>
        <w:tc>
          <w:tcPr>
            <w:tcW w:w="600" w:type="dxa"/>
            <w:tcBorders>
              <w:top w:val="single" w:sz="4" w:space="0" w:color="auto"/>
              <w:left w:val="single" w:sz="4" w:space="0" w:color="auto"/>
              <w:bottom w:val="single" w:sz="4" w:space="0" w:color="auto"/>
              <w:right w:val="single" w:sz="4" w:space="0" w:color="auto"/>
            </w:tcBorders>
          </w:tcPr>
          <w:p w14:paraId="22961F88" w14:textId="77777777" w:rsidR="005842E4" w:rsidRDefault="005842E4" w:rsidP="006E34BB">
            <w:pPr>
              <w:spacing w:after="0" w:line="360" w:lineRule="auto"/>
              <w:jc w:val="both"/>
              <w:rPr>
                <w:rFonts w:ascii="Times New Roman" w:eastAsiaTheme="minorEastAsia" w:hAnsi="Times New Roman" w:cs="Times New Roman"/>
                <w:sz w:val="18"/>
                <w:szCs w:val="18"/>
              </w:rPr>
            </w:pPr>
            <w:r w:rsidRPr="00E4642D">
              <w:rPr>
                <w:rFonts w:ascii="Times New Roman" w:eastAsiaTheme="minorEastAsia" w:hAnsi="Times New Roman" w:cs="Times New Roman"/>
                <w:sz w:val="18"/>
                <w:szCs w:val="18"/>
              </w:rPr>
              <w:t>Private Hospitals</w:t>
            </w:r>
          </w:p>
        </w:tc>
        <w:tc>
          <w:tcPr>
            <w:tcW w:w="1308" w:type="dxa"/>
            <w:tcBorders>
              <w:top w:val="single" w:sz="4" w:space="0" w:color="auto"/>
              <w:left w:val="single" w:sz="4" w:space="0" w:color="auto"/>
              <w:bottom w:val="single" w:sz="4" w:space="0" w:color="auto"/>
              <w:right w:val="single" w:sz="4" w:space="0" w:color="auto"/>
            </w:tcBorders>
            <w:noWrap/>
            <w:hideMark/>
          </w:tcPr>
          <w:p w14:paraId="74446BF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RTs Needed on PRIVATE General Floor</w:t>
            </w:r>
          </w:p>
        </w:tc>
        <w:tc>
          <w:tcPr>
            <w:tcW w:w="1388" w:type="dxa"/>
            <w:tcBorders>
              <w:top w:val="single" w:sz="4" w:space="0" w:color="auto"/>
              <w:left w:val="single" w:sz="4" w:space="0" w:color="auto"/>
              <w:bottom w:val="single" w:sz="4" w:space="0" w:color="auto"/>
              <w:right w:val="single" w:sz="4" w:space="0" w:color="auto"/>
            </w:tcBorders>
            <w:noWrap/>
            <w:hideMark/>
          </w:tcPr>
          <w:p w14:paraId="7FEEA81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PRIVATE-ICU Beds</w:t>
            </w:r>
          </w:p>
        </w:tc>
        <w:tc>
          <w:tcPr>
            <w:tcW w:w="1308" w:type="dxa"/>
            <w:tcBorders>
              <w:top w:val="single" w:sz="4" w:space="0" w:color="auto"/>
              <w:left w:val="single" w:sz="4" w:space="0" w:color="auto"/>
              <w:bottom w:val="single" w:sz="4" w:space="0" w:color="auto"/>
              <w:right w:val="single" w:sz="4" w:space="0" w:color="auto"/>
            </w:tcBorders>
            <w:noWrap/>
            <w:hideMark/>
          </w:tcPr>
          <w:p w14:paraId="01B4422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RTs Needed on PRIVATE ICU</w:t>
            </w:r>
          </w:p>
        </w:tc>
        <w:tc>
          <w:tcPr>
            <w:tcW w:w="1286" w:type="dxa"/>
            <w:tcBorders>
              <w:top w:val="single" w:sz="4" w:space="0" w:color="auto"/>
              <w:left w:val="single" w:sz="4" w:space="0" w:color="auto"/>
              <w:bottom w:val="single" w:sz="4" w:space="0" w:color="auto"/>
              <w:right w:val="single" w:sz="4" w:space="0" w:color="auto"/>
            </w:tcBorders>
            <w:noWrap/>
            <w:hideMark/>
          </w:tcPr>
          <w:p w14:paraId="7B5B392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Private Hospitals Beds</w:t>
            </w:r>
          </w:p>
        </w:tc>
        <w:tc>
          <w:tcPr>
            <w:tcW w:w="1308" w:type="dxa"/>
            <w:tcBorders>
              <w:top w:val="single" w:sz="4" w:space="0" w:color="auto"/>
              <w:left w:val="single" w:sz="4" w:space="0" w:color="auto"/>
              <w:bottom w:val="single" w:sz="4" w:space="0" w:color="auto"/>
              <w:right w:val="single" w:sz="4" w:space="0" w:color="auto"/>
            </w:tcBorders>
            <w:noWrap/>
            <w:hideMark/>
          </w:tcPr>
          <w:p w14:paraId="75AD26B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RTs Needed in PRIVATE Hospitals</w:t>
            </w:r>
          </w:p>
        </w:tc>
      </w:tr>
      <w:tr w:rsidR="005842E4" w14:paraId="34A1C341"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C0DBDE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Riyadh</w:t>
            </w:r>
          </w:p>
        </w:tc>
        <w:tc>
          <w:tcPr>
            <w:tcW w:w="600" w:type="dxa"/>
            <w:tcBorders>
              <w:top w:val="single" w:sz="4" w:space="0" w:color="auto"/>
              <w:left w:val="single" w:sz="4" w:space="0" w:color="auto"/>
              <w:bottom w:val="single" w:sz="4" w:space="0" w:color="auto"/>
              <w:right w:val="single" w:sz="4" w:space="0" w:color="auto"/>
            </w:tcBorders>
          </w:tcPr>
          <w:p w14:paraId="763ACBB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41</w:t>
            </w:r>
          </w:p>
        </w:tc>
        <w:tc>
          <w:tcPr>
            <w:tcW w:w="1308" w:type="dxa"/>
            <w:tcBorders>
              <w:top w:val="single" w:sz="4" w:space="0" w:color="auto"/>
              <w:left w:val="single" w:sz="4" w:space="0" w:color="auto"/>
              <w:bottom w:val="single" w:sz="4" w:space="0" w:color="auto"/>
              <w:right w:val="single" w:sz="4" w:space="0" w:color="auto"/>
            </w:tcBorders>
            <w:noWrap/>
            <w:hideMark/>
          </w:tcPr>
          <w:p w14:paraId="48A5F6E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1166</w:t>
            </w:r>
          </w:p>
        </w:tc>
        <w:tc>
          <w:tcPr>
            <w:tcW w:w="1388" w:type="dxa"/>
            <w:tcBorders>
              <w:top w:val="single" w:sz="4" w:space="0" w:color="auto"/>
              <w:left w:val="single" w:sz="4" w:space="0" w:color="auto"/>
              <w:bottom w:val="single" w:sz="4" w:space="0" w:color="auto"/>
              <w:right w:val="single" w:sz="4" w:space="0" w:color="auto"/>
            </w:tcBorders>
            <w:noWrap/>
            <w:hideMark/>
          </w:tcPr>
          <w:p w14:paraId="21FF055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332</w:t>
            </w:r>
          </w:p>
        </w:tc>
        <w:tc>
          <w:tcPr>
            <w:tcW w:w="1308" w:type="dxa"/>
            <w:tcBorders>
              <w:top w:val="single" w:sz="4" w:space="0" w:color="auto"/>
              <w:left w:val="single" w:sz="4" w:space="0" w:color="auto"/>
              <w:bottom w:val="single" w:sz="4" w:space="0" w:color="auto"/>
              <w:right w:val="single" w:sz="4" w:space="0" w:color="auto"/>
            </w:tcBorders>
            <w:noWrap/>
            <w:hideMark/>
          </w:tcPr>
          <w:p w14:paraId="4F7DB91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286</w:t>
            </w:r>
          </w:p>
        </w:tc>
        <w:tc>
          <w:tcPr>
            <w:tcW w:w="1286" w:type="dxa"/>
            <w:tcBorders>
              <w:top w:val="single" w:sz="4" w:space="0" w:color="auto"/>
              <w:left w:val="single" w:sz="4" w:space="0" w:color="auto"/>
              <w:bottom w:val="single" w:sz="4" w:space="0" w:color="auto"/>
              <w:right w:val="single" w:sz="4" w:space="0" w:color="auto"/>
            </w:tcBorders>
            <w:noWrap/>
            <w:hideMark/>
          </w:tcPr>
          <w:p w14:paraId="2533A92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5747</w:t>
            </w:r>
          </w:p>
        </w:tc>
        <w:tc>
          <w:tcPr>
            <w:tcW w:w="1308" w:type="dxa"/>
            <w:tcBorders>
              <w:top w:val="single" w:sz="4" w:space="0" w:color="auto"/>
              <w:left w:val="single" w:sz="4" w:space="0" w:color="auto"/>
              <w:bottom w:val="single" w:sz="4" w:space="0" w:color="auto"/>
              <w:right w:val="single" w:sz="4" w:space="0" w:color="auto"/>
            </w:tcBorders>
            <w:noWrap/>
            <w:hideMark/>
          </w:tcPr>
          <w:p w14:paraId="49ED6E0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1452</w:t>
            </w:r>
          </w:p>
        </w:tc>
      </w:tr>
      <w:tr w:rsidR="005842E4" w14:paraId="604064CE"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CCC528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Jeddah </w:t>
            </w:r>
          </w:p>
        </w:tc>
        <w:tc>
          <w:tcPr>
            <w:tcW w:w="600" w:type="dxa"/>
            <w:tcBorders>
              <w:top w:val="single" w:sz="4" w:space="0" w:color="auto"/>
              <w:left w:val="single" w:sz="4" w:space="0" w:color="auto"/>
              <w:bottom w:val="single" w:sz="4" w:space="0" w:color="auto"/>
              <w:right w:val="single" w:sz="4" w:space="0" w:color="auto"/>
            </w:tcBorders>
          </w:tcPr>
          <w:p w14:paraId="0585FA0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40</w:t>
            </w:r>
          </w:p>
        </w:tc>
        <w:tc>
          <w:tcPr>
            <w:tcW w:w="1308" w:type="dxa"/>
            <w:tcBorders>
              <w:top w:val="single" w:sz="4" w:space="0" w:color="auto"/>
              <w:left w:val="single" w:sz="4" w:space="0" w:color="auto"/>
              <w:bottom w:val="single" w:sz="4" w:space="0" w:color="auto"/>
              <w:right w:val="single" w:sz="4" w:space="0" w:color="auto"/>
            </w:tcBorders>
            <w:noWrap/>
            <w:hideMark/>
          </w:tcPr>
          <w:p w14:paraId="7FD6A0B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700</w:t>
            </w:r>
          </w:p>
        </w:tc>
        <w:tc>
          <w:tcPr>
            <w:tcW w:w="1388" w:type="dxa"/>
            <w:tcBorders>
              <w:top w:val="single" w:sz="4" w:space="0" w:color="auto"/>
              <w:left w:val="single" w:sz="4" w:space="0" w:color="auto"/>
              <w:bottom w:val="single" w:sz="4" w:space="0" w:color="auto"/>
              <w:right w:val="single" w:sz="4" w:space="0" w:color="auto"/>
            </w:tcBorders>
            <w:noWrap/>
            <w:hideMark/>
          </w:tcPr>
          <w:p w14:paraId="67E1283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462</w:t>
            </w:r>
          </w:p>
        </w:tc>
        <w:tc>
          <w:tcPr>
            <w:tcW w:w="1308" w:type="dxa"/>
            <w:tcBorders>
              <w:top w:val="single" w:sz="4" w:space="0" w:color="auto"/>
              <w:left w:val="single" w:sz="4" w:space="0" w:color="auto"/>
              <w:bottom w:val="single" w:sz="4" w:space="0" w:color="auto"/>
              <w:right w:val="single" w:sz="4" w:space="0" w:color="auto"/>
            </w:tcBorders>
            <w:noWrap/>
            <w:hideMark/>
          </w:tcPr>
          <w:p w14:paraId="43D15AD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398</w:t>
            </w:r>
          </w:p>
        </w:tc>
        <w:tc>
          <w:tcPr>
            <w:tcW w:w="1286" w:type="dxa"/>
            <w:tcBorders>
              <w:top w:val="single" w:sz="4" w:space="0" w:color="auto"/>
              <w:left w:val="single" w:sz="4" w:space="0" w:color="auto"/>
              <w:bottom w:val="single" w:sz="4" w:space="0" w:color="auto"/>
              <w:right w:val="single" w:sz="4" w:space="0" w:color="auto"/>
            </w:tcBorders>
            <w:noWrap/>
            <w:hideMark/>
          </w:tcPr>
          <w:p w14:paraId="5196CA2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3714</w:t>
            </w:r>
          </w:p>
        </w:tc>
        <w:tc>
          <w:tcPr>
            <w:tcW w:w="1308" w:type="dxa"/>
            <w:tcBorders>
              <w:top w:val="single" w:sz="4" w:space="0" w:color="auto"/>
              <w:left w:val="single" w:sz="4" w:space="0" w:color="auto"/>
              <w:bottom w:val="single" w:sz="4" w:space="0" w:color="auto"/>
              <w:right w:val="single" w:sz="4" w:space="0" w:color="auto"/>
            </w:tcBorders>
            <w:noWrap/>
            <w:hideMark/>
          </w:tcPr>
          <w:p w14:paraId="20D681D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1098</w:t>
            </w:r>
          </w:p>
        </w:tc>
      </w:tr>
      <w:tr w:rsidR="005842E4" w14:paraId="7ACE3A9A"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21682029"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Ta'if</w:t>
            </w:r>
            <w:proofErr w:type="spellEnd"/>
          </w:p>
        </w:tc>
        <w:tc>
          <w:tcPr>
            <w:tcW w:w="600" w:type="dxa"/>
            <w:tcBorders>
              <w:top w:val="single" w:sz="4" w:space="0" w:color="auto"/>
              <w:left w:val="single" w:sz="4" w:space="0" w:color="auto"/>
              <w:bottom w:val="single" w:sz="4" w:space="0" w:color="auto"/>
              <w:right w:val="single" w:sz="4" w:space="0" w:color="auto"/>
            </w:tcBorders>
          </w:tcPr>
          <w:p w14:paraId="32A678E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1308" w:type="dxa"/>
            <w:tcBorders>
              <w:top w:val="single" w:sz="4" w:space="0" w:color="auto"/>
              <w:left w:val="single" w:sz="4" w:space="0" w:color="auto"/>
              <w:bottom w:val="single" w:sz="4" w:space="0" w:color="auto"/>
              <w:right w:val="single" w:sz="4" w:space="0" w:color="auto"/>
            </w:tcBorders>
            <w:noWrap/>
            <w:hideMark/>
          </w:tcPr>
          <w:p w14:paraId="3778C54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82</w:t>
            </w:r>
          </w:p>
        </w:tc>
        <w:tc>
          <w:tcPr>
            <w:tcW w:w="1388" w:type="dxa"/>
            <w:tcBorders>
              <w:top w:val="single" w:sz="4" w:space="0" w:color="auto"/>
              <w:left w:val="single" w:sz="4" w:space="0" w:color="auto"/>
              <w:bottom w:val="single" w:sz="4" w:space="0" w:color="auto"/>
              <w:right w:val="single" w:sz="4" w:space="0" w:color="auto"/>
            </w:tcBorders>
            <w:noWrap/>
            <w:hideMark/>
          </w:tcPr>
          <w:p w14:paraId="2F3517B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107</w:t>
            </w:r>
          </w:p>
        </w:tc>
        <w:tc>
          <w:tcPr>
            <w:tcW w:w="1308" w:type="dxa"/>
            <w:tcBorders>
              <w:top w:val="single" w:sz="4" w:space="0" w:color="auto"/>
              <w:left w:val="single" w:sz="4" w:space="0" w:color="auto"/>
              <w:bottom w:val="single" w:sz="4" w:space="0" w:color="auto"/>
              <w:right w:val="single" w:sz="4" w:space="0" w:color="auto"/>
            </w:tcBorders>
            <w:noWrap/>
            <w:hideMark/>
          </w:tcPr>
          <w:p w14:paraId="22DAFEE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92</w:t>
            </w:r>
          </w:p>
        </w:tc>
        <w:tc>
          <w:tcPr>
            <w:tcW w:w="1286" w:type="dxa"/>
            <w:tcBorders>
              <w:top w:val="single" w:sz="4" w:space="0" w:color="auto"/>
              <w:left w:val="single" w:sz="4" w:space="0" w:color="auto"/>
              <w:bottom w:val="single" w:sz="4" w:space="0" w:color="auto"/>
              <w:right w:val="single" w:sz="4" w:space="0" w:color="auto"/>
            </w:tcBorders>
            <w:noWrap/>
            <w:hideMark/>
          </w:tcPr>
          <w:p w14:paraId="4670B0D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489</w:t>
            </w:r>
          </w:p>
        </w:tc>
        <w:tc>
          <w:tcPr>
            <w:tcW w:w="1308" w:type="dxa"/>
            <w:tcBorders>
              <w:top w:val="single" w:sz="4" w:space="0" w:color="auto"/>
              <w:left w:val="single" w:sz="4" w:space="0" w:color="auto"/>
              <w:bottom w:val="single" w:sz="4" w:space="0" w:color="auto"/>
              <w:right w:val="single" w:sz="4" w:space="0" w:color="auto"/>
            </w:tcBorders>
            <w:noWrap/>
            <w:hideMark/>
          </w:tcPr>
          <w:p w14:paraId="6C3CFD4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174</w:t>
            </w:r>
          </w:p>
        </w:tc>
      </w:tr>
      <w:tr w:rsidR="005842E4" w14:paraId="79CF3284"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54AB18A9"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Al'Ahsa</w:t>
            </w:r>
            <w:proofErr w:type="spellEnd"/>
          </w:p>
        </w:tc>
        <w:tc>
          <w:tcPr>
            <w:tcW w:w="600" w:type="dxa"/>
            <w:tcBorders>
              <w:top w:val="single" w:sz="4" w:space="0" w:color="auto"/>
              <w:left w:val="single" w:sz="4" w:space="0" w:color="auto"/>
              <w:bottom w:val="single" w:sz="4" w:space="0" w:color="auto"/>
              <w:right w:val="single" w:sz="4" w:space="0" w:color="auto"/>
            </w:tcBorders>
          </w:tcPr>
          <w:p w14:paraId="42DDE8D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w:t>
            </w:r>
          </w:p>
        </w:tc>
        <w:tc>
          <w:tcPr>
            <w:tcW w:w="1308" w:type="dxa"/>
            <w:tcBorders>
              <w:top w:val="single" w:sz="4" w:space="0" w:color="auto"/>
              <w:left w:val="single" w:sz="4" w:space="0" w:color="auto"/>
              <w:bottom w:val="single" w:sz="4" w:space="0" w:color="auto"/>
              <w:right w:val="single" w:sz="4" w:space="0" w:color="auto"/>
            </w:tcBorders>
            <w:noWrap/>
            <w:hideMark/>
          </w:tcPr>
          <w:p w14:paraId="5639FA4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154</w:t>
            </w:r>
          </w:p>
        </w:tc>
        <w:tc>
          <w:tcPr>
            <w:tcW w:w="1388" w:type="dxa"/>
            <w:tcBorders>
              <w:top w:val="single" w:sz="4" w:space="0" w:color="auto"/>
              <w:left w:val="single" w:sz="4" w:space="0" w:color="auto"/>
              <w:bottom w:val="single" w:sz="4" w:space="0" w:color="auto"/>
              <w:right w:val="single" w:sz="4" w:space="0" w:color="auto"/>
            </w:tcBorders>
            <w:noWrap/>
            <w:hideMark/>
          </w:tcPr>
          <w:p w14:paraId="0942AFB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w:t>
            </w:r>
          </w:p>
        </w:tc>
        <w:tc>
          <w:tcPr>
            <w:tcW w:w="1308" w:type="dxa"/>
            <w:tcBorders>
              <w:top w:val="single" w:sz="4" w:space="0" w:color="auto"/>
              <w:left w:val="single" w:sz="4" w:space="0" w:color="auto"/>
              <w:bottom w:val="single" w:sz="4" w:space="0" w:color="auto"/>
              <w:right w:val="single" w:sz="4" w:space="0" w:color="auto"/>
            </w:tcBorders>
            <w:noWrap/>
            <w:hideMark/>
          </w:tcPr>
          <w:p w14:paraId="5E5C9F8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w:t>
            </w:r>
          </w:p>
        </w:tc>
        <w:tc>
          <w:tcPr>
            <w:tcW w:w="1286" w:type="dxa"/>
            <w:tcBorders>
              <w:top w:val="single" w:sz="4" w:space="0" w:color="auto"/>
              <w:left w:val="single" w:sz="4" w:space="0" w:color="auto"/>
              <w:bottom w:val="single" w:sz="4" w:space="0" w:color="auto"/>
              <w:right w:val="single" w:sz="4" w:space="0" w:color="auto"/>
            </w:tcBorders>
            <w:noWrap/>
            <w:hideMark/>
          </w:tcPr>
          <w:p w14:paraId="225FFA6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728</w:t>
            </w:r>
          </w:p>
        </w:tc>
        <w:tc>
          <w:tcPr>
            <w:tcW w:w="1308" w:type="dxa"/>
            <w:tcBorders>
              <w:top w:val="single" w:sz="4" w:space="0" w:color="auto"/>
              <w:left w:val="single" w:sz="4" w:space="0" w:color="auto"/>
              <w:bottom w:val="single" w:sz="4" w:space="0" w:color="auto"/>
              <w:right w:val="single" w:sz="4" w:space="0" w:color="auto"/>
            </w:tcBorders>
            <w:noWrap/>
            <w:hideMark/>
          </w:tcPr>
          <w:p w14:paraId="5715C90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164</w:t>
            </w:r>
          </w:p>
        </w:tc>
      </w:tr>
      <w:tr w:rsidR="005842E4" w14:paraId="7DDBEE94"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1CD1EBA4"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Hafr</w:t>
            </w:r>
            <w:proofErr w:type="spellEnd"/>
            <w:r>
              <w:rPr>
                <w:rFonts w:ascii="Times New Roman" w:eastAsiaTheme="minorEastAsia" w:hAnsi="Times New Roman" w:cs="Times New Roman"/>
                <w:sz w:val="18"/>
                <w:szCs w:val="18"/>
              </w:rPr>
              <w:t xml:space="preserve"> </w:t>
            </w:r>
            <w:proofErr w:type="spellStart"/>
            <w:r>
              <w:rPr>
                <w:rFonts w:ascii="Times New Roman" w:eastAsiaTheme="minorEastAsia" w:hAnsi="Times New Roman" w:cs="Times New Roman"/>
                <w:sz w:val="18"/>
                <w:szCs w:val="18"/>
              </w:rPr>
              <w:t>Al'Baten</w:t>
            </w:r>
            <w:proofErr w:type="spellEnd"/>
          </w:p>
        </w:tc>
        <w:tc>
          <w:tcPr>
            <w:tcW w:w="600" w:type="dxa"/>
            <w:tcBorders>
              <w:top w:val="single" w:sz="4" w:space="0" w:color="auto"/>
              <w:left w:val="single" w:sz="4" w:space="0" w:color="auto"/>
              <w:bottom w:val="single" w:sz="4" w:space="0" w:color="auto"/>
              <w:right w:val="single" w:sz="4" w:space="0" w:color="auto"/>
            </w:tcBorders>
          </w:tcPr>
          <w:p w14:paraId="3C49A57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w:t>
            </w:r>
          </w:p>
        </w:tc>
        <w:tc>
          <w:tcPr>
            <w:tcW w:w="1308" w:type="dxa"/>
            <w:tcBorders>
              <w:top w:val="single" w:sz="4" w:space="0" w:color="auto"/>
              <w:left w:val="single" w:sz="4" w:space="0" w:color="auto"/>
              <w:bottom w:val="single" w:sz="4" w:space="0" w:color="auto"/>
              <w:right w:val="single" w:sz="4" w:space="0" w:color="auto"/>
            </w:tcBorders>
            <w:noWrap/>
            <w:hideMark/>
          </w:tcPr>
          <w:p w14:paraId="705D39C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w:t>
            </w:r>
          </w:p>
        </w:tc>
        <w:tc>
          <w:tcPr>
            <w:tcW w:w="1388" w:type="dxa"/>
            <w:tcBorders>
              <w:top w:val="single" w:sz="4" w:space="0" w:color="auto"/>
              <w:left w:val="single" w:sz="4" w:space="0" w:color="auto"/>
              <w:bottom w:val="single" w:sz="4" w:space="0" w:color="auto"/>
              <w:right w:val="single" w:sz="4" w:space="0" w:color="auto"/>
            </w:tcBorders>
            <w:noWrap/>
            <w:hideMark/>
          </w:tcPr>
          <w:p w14:paraId="437EF4B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787FE85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5E00A70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150</w:t>
            </w:r>
          </w:p>
        </w:tc>
        <w:tc>
          <w:tcPr>
            <w:tcW w:w="1308" w:type="dxa"/>
            <w:tcBorders>
              <w:top w:val="single" w:sz="4" w:space="0" w:color="auto"/>
              <w:left w:val="single" w:sz="4" w:space="0" w:color="auto"/>
              <w:bottom w:val="single" w:sz="4" w:space="0" w:color="auto"/>
              <w:right w:val="single" w:sz="4" w:space="0" w:color="auto"/>
            </w:tcBorders>
            <w:noWrap/>
            <w:hideMark/>
          </w:tcPr>
          <w:p w14:paraId="5A154A9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w:t>
            </w:r>
          </w:p>
        </w:tc>
      </w:tr>
      <w:tr w:rsidR="005842E4" w14:paraId="0B082361"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795C8E89"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Bishah</w:t>
            </w:r>
            <w:proofErr w:type="spellEnd"/>
          </w:p>
        </w:tc>
        <w:tc>
          <w:tcPr>
            <w:tcW w:w="600" w:type="dxa"/>
            <w:tcBorders>
              <w:top w:val="single" w:sz="4" w:space="0" w:color="auto"/>
              <w:left w:val="single" w:sz="4" w:space="0" w:color="auto"/>
              <w:bottom w:val="single" w:sz="4" w:space="0" w:color="auto"/>
              <w:right w:val="single" w:sz="4" w:space="0" w:color="auto"/>
            </w:tcBorders>
          </w:tcPr>
          <w:p w14:paraId="6ED517D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7FFFF5C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88" w:type="dxa"/>
            <w:tcBorders>
              <w:top w:val="single" w:sz="4" w:space="0" w:color="auto"/>
              <w:left w:val="single" w:sz="4" w:space="0" w:color="auto"/>
              <w:bottom w:val="single" w:sz="4" w:space="0" w:color="auto"/>
              <w:right w:val="single" w:sz="4" w:space="0" w:color="auto"/>
            </w:tcBorders>
            <w:noWrap/>
            <w:hideMark/>
          </w:tcPr>
          <w:p w14:paraId="1985DF4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3FD3F2A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411193B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5A5BB3A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5414E60D"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5241F091"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Qurayyat</w:t>
            </w:r>
            <w:proofErr w:type="spellEnd"/>
          </w:p>
        </w:tc>
        <w:tc>
          <w:tcPr>
            <w:tcW w:w="600" w:type="dxa"/>
            <w:tcBorders>
              <w:top w:val="single" w:sz="4" w:space="0" w:color="auto"/>
              <w:left w:val="single" w:sz="4" w:space="0" w:color="auto"/>
              <w:bottom w:val="single" w:sz="4" w:space="0" w:color="auto"/>
              <w:right w:val="single" w:sz="4" w:space="0" w:color="auto"/>
            </w:tcBorders>
          </w:tcPr>
          <w:p w14:paraId="46B6CA9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6D86A32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88" w:type="dxa"/>
            <w:tcBorders>
              <w:top w:val="single" w:sz="4" w:space="0" w:color="auto"/>
              <w:left w:val="single" w:sz="4" w:space="0" w:color="auto"/>
              <w:bottom w:val="single" w:sz="4" w:space="0" w:color="auto"/>
              <w:right w:val="single" w:sz="4" w:space="0" w:color="auto"/>
            </w:tcBorders>
            <w:noWrap/>
            <w:hideMark/>
          </w:tcPr>
          <w:p w14:paraId="612DCDA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353792C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3005BF1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6780D26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0428F79D"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40CA6DBE"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Qunfudah</w:t>
            </w:r>
            <w:proofErr w:type="spellEnd"/>
          </w:p>
        </w:tc>
        <w:tc>
          <w:tcPr>
            <w:tcW w:w="600" w:type="dxa"/>
            <w:tcBorders>
              <w:top w:val="single" w:sz="4" w:space="0" w:color="auto"/>
              <w:left w:val="single" w:sz="4" w:space="0" w:color="auto"/>
              <w:bottom w:val="single" w:sz="4" w:space="0" w:color="auto"/>
              <w:right w:val="single" w:sz="4" w:space="0" w:color="auto"/>
            </w:tcBorders>
          </w:tcPr>
          <w:p w14:paraId="30E0F6E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416BDBF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88" w:type="dxa"/>
            <w:tcBorders>
              <w:top w:val="single" w:sz="4" w:space="0" w:color="auto"/>
              <w:left w:val="single" w:sz="4" w:space="0" w:color="auto"/>
              <w:bottom w:val="single" w:sz="4" w:space="0" w:color="auto"/>
              <w:right w:val="single" w:sz="4" w:space="0" w:color="auto"/>
            </w:tcBorders>
            <w:noWrap/>
            <w:hideMark/>
          </w:tcPr>
          <w:p w14:paraId="61E1B45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2ACF8CB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7756745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4ABB07D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46CC8A16"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2AFE51A"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lastRenderedPageBreak/>
              <w:t>Tabouk</w:t>
            </w:r>
            <w:proofErr w:type="spellEnd"/>
          </w:p>
        </w:tc>
        <w:tc>
          <w:tcPr>
            <w:tcW w:w="600" w:type="dxa"/>
            <w:tcBorders>
              <w:top w:val="single" w:sz="4" w:space="0" w:color="auto"/>
              <w:left w:val="single" w:sz="4" w:space="0" w:color="auto"/>
              <w:bottom w:val="single" w:sz="4" w:space="0" w:color="auto"/>
              <w:right w:val="single" w:sz="4" w:space="0" w:color="auto"/>
            </w:tcBorders>
          </w:tcPr>
          <w:p w14:paraId="20F4F09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w:t>
            </w:r>
          </w:p>
        </w:tc>
        <w:tc>
          <w:tcPr>
            <w:tcW w:w="1308" w:type="dxa"/>
            <w:tcBorders>
              <w:top w:val="single" w:sz="4" w:space="0" w:color="auto"/>
              <w:left w:val="single" w:sz="4" w:space="0" w:color="auto"/>
              <w:bottom w:val="single" w:sz="4" w:space="0" w:color="auto"/>
              <w:right w:val="single" w:sz="4" w:space="0" w:color="auto"/>
            </w:tcBorders>
            <w:noWrap/>
            <w:hideMark/>
          </w:tcPr>
          <w:p w14:paraId="6FBE71A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w:t>
            </w:r>
          </w:p>
        </w:tc>
        <w:tc>
          <w:tcPr>
            <w:tcW w:w="1388" w:type="dxa"/>
            <w:tcBorders>
              <w:top w:val="single" w:sz="4" w:space="0" w:color="auto"/>
              <w:left w:val="single" w:sz="4" w:space="0" w:color="auto"/>
              <w:bottom w:val="single" w:sz="4" w:space="0" w:color="auto"/>
              <w:right w:val="single" w:sz="4" w:space="0" w:color="auto"/>
            </w:tcBorders>
            <w:noWrap/>
            <w:hideMark/>
          </w:tcPr>
          <w:p w14:paraId="781BC2C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5C0B35E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352016B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86</w:t>
            </w:r>
          </w:p>
        </w:tc>
        <w:tc>
          <w:tcPr>
            <w:tcW w:w="1308" w:type="dxa"/>
            <w:tcBorders>
              <w:top w:val="single" w:sz="4" w:space="0" w:color="auto"/>
              <w:left w:val="single" w:sz="4" w:space="0" w:color="auto"/>
              <w:bottom w:val="single" w:sz="4" w:space="0" w:color="auto"/>
              <w:right w:val="single" w:sz="4" w:space="0" w:color="auto"/>
            </w:tcBorders>
            <w:noWrap/>
            <w:hideMark/>
          </w:tcPr>
          <w:p w14:paraId="2B1459F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w:t>
            </w:r>
          </w:p>
        </w:tc>
      </w:tr>
      <w:tr w:rsidR="005842E4" w14:paraId="29BC361C"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2FDA45A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 Madinah</w:t>
            </w:r>
          </w:p>
        </w:tc>
        <w:tc>
          <w:tcPr>
            <w:tcW w:w="600" w:type="dxa"/>
            <w:tcBorders>
              <w:top w:val="single" w:sz="4" w:space="0" w:color="auto"/>
              <w:left w:val="single" w:sz="4" w:space="0" w:color="auto"/>
              <w:bottom w:val="single" w:sz="4" w:space="0" w:color="auto"/>
              <w:right w:val="single" w:sz="4" w:space="0" w:color="auto"/>
            </w:tcBorders>
          </w:tcPr>
          <w:p w14:paraId="63AF2BC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w:t>
            </w:r>
          </w:p>
        </w:tc>
        <w:tc>
          <w:tcPr>
            <w:tcW w:w="1308" w:type="dxa"/>
            <w:tcBorders>
              <w:top w:val="single" w:sz="4" w:space="0" w:color="auto"/>
              <w:left w:val="single" w:sz="4" w:space="0" w:color="auto"/>
              <w:bottom w:val="single" w:sz="4" w:space="0" w:color="auto"/>
              <w:right w:val="single" w:sz="4" w:space="0" w:color="auto"/>
            </w:tcBorders>
            <w:noWrap/>
            <w:hideMark/>
          </w:tcPr>
          <w:p w14:paraId="5230354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217</w:t>
            </w:r>
          </w:p>
        </w:tc>
        <w:tc>
          <w:tcPr>
            <w:tcW w:w="1388" w:type="dxa"/>
            <w:tcBorders>
              <w:top w:val="single" w:sz="4" w:space="0" w:color="auto"/>
              <w:left w:val="single" w:sz="4" w:space="0" w:color="auto"/>
              <w:bottom w:val="single" w:sz="4" w:space="0" w:color="auto"/>
              <w:right w:val="single" w:sz="4" w:space="0" w:color="auto"/>
            </w:tcBorders>
            <w:noWrap/>
            <w:hideMark/>
          </w:tcPr>
          <w:p w14:paraId="1E78F4E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127</w:t>
            </w:r>
          </w:p>
        </w:tc>
        <w:tc>
          <w:tcPr>
            <w:tcW w:w="1308" w:type="dxa"/>
            <w:tcBorders>
              <w:top w:val="single" w:sz="4" w:space="0" w:color="auto"/>
              <w:left w:val="single" w:sz="4" w:space="0" w:color="auto"/>
              <w:bottom w:val="single" w:sz="4" w:space="0" w:color="auto"/>
              <w:right w:val="single" w:sz="4" w:space="0" w:color="auto"/>
            </w:tcBorders>
            <w:noWrap/>
            <w:hideMark/>
          </w:tcPr>
          <w:p w14:paraId="215740E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109</w:t>
            </w:r>
          </w:p>
        </w:tc>
        <w:tc>
          <w:tcPr>
            <w:tcW w:w="1286" w:type="dxa"/>
            <w:tcBorders>
              <w:top w:val="single" w:sz="4" w:space="0" w:color="auto"/>
              <w:left w:val="single" w:sz="4" w:space="0" w:color="auto"/>
              <w:bottom w:val="single" w:sz="4" w:space="0" w:color="auto"/>
              <w:right w:val="single" w:sz="4" w:space="0" w:color="auto"/>
            </w:tcBorders>
            <w:noWrap/>
            <w:hideMark/>
          </w:tcPr>
          <w:p w14:paraId="2B614CE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1135</w:t>
            </w:r>
          </w:p>
        </w:tc>
        <w:tc>
          <w:tcPr>
            <w:tcW w:w="1308" w:type="dxa"/>
            <w:tcBorders>
              <w:top w:val="single" w:sz="4" w:space="0" w:color="auto"/>
              <w:left w:val="single" w:sz="4" w:space="0" w:color="auto"/>
              <w:bottom w:val="single" w:sz="4" w:space="0" w:color="auto"/>
              <w:right w:val="single" w:sz="4" w:space="0" w:color="auto"/>
            </w:tcBorders>
            <w:noWrap/>
            <w:hideMark/>
          </w:tcPr>
          <w:p w14:paraId="4ED0579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326</w:t>
            </w:r>
          </w:p>
        </w:tc>
      </w:tr>
      <w:tr w:rsidR="005842E4" w14:paraId="564F04A6"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474A13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Makkah</w:t>
            </w:r>
          </w:p>
        </w:tc>
        <w:tc>
          <w:tcPr>
            <w:tcW w:w="600" w:type="dxa"/>
            <w:tcBorders>
              <w:top w:val="single" w:sz="4" w:space="0" w:color="auto"/>
              <w:left w:val="single" w:sz="4" w:space="0" w:color="auto"/>
              <w:bottom w:val="single" w:sz="4" w:space="0" w:color="auto"/>
              <w:right w:val="single" w:sz="4" w:space="0" w:color="auto"/>
            </w:tcBorders>
          </w:tcPr>
          <w:p w14:paraId="795AB5E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w:t>
            </w:r>
          </w:p>
        </w:tc>
        <w:tc>
          <w:tcPr>
            <w:tcW w:w="1308" w:type="dxa"/>
            <w:tcBorders>
              <w:top w:val="single" w:sz="4" w:space="0" w:color="auto"/>
              <w:left w:val="single" w:sz="4" w:space="0" w:color="auto"/>
              <w:bottom w:val="single" w:sz="4" w:space="0" w:color="auto"/>
              <w:right w:val="single" w:sz="4" w:space="0" w:color="auto"/>
            </w:tcBorders>
            <w:noWrap/>
            <w:hideMark/>
          </w:tcPr>
          <w:p w14:paraId="2800DB0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102</w:t>
            </w:r>
          </w:p>
        </w:tc>
        <w:tc>
          <w:tcPr>
            <w:tcW w:w="1388" w:type="dxa"/>
            <w:tcBorders>
              <w:top w:val="single" w:sz="4" w:space="0" w:color="auto"/>
              <w:left w:val="single" w:sz="4" w:space="0" w:color="auto"/>
              <w:bottom w:val="single" w:sz="4" w:space="0" w:color="auto"/>
              <w:right w:val="single" w:sz="4" w:space="0" w:color="auto"/>
            </w:tcBorders>
            <w:noWrap/>
            <w:hideMark/>
          </w:tcPr>
          <w:p w14:paraId="43DF3DE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6657E1F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5484F9B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473</w:t>
            </w:r>
          </w:p>
        </w:tc>
        <w:tc>
          <w:tcPr>
            <w:tcW w:w="1308" w:type="dxa"/>
            <w:tcBorders>
              <w:top w:val="single" w:sz="4" w:space="0" w:color="auto"/>
              <w:left w:val="single" w:sz="4" w:space="0" w:color="auto"/>
              <w:bottom w:val="single" w:sz="4" w:space="0" w:color="auto"/>
              <w:right w:val="single" w:sz="4" w:space="0" w:color="auto"/>
            </w:tcBorders>
            <w:noWrap/>
            <w:hideMark/>
          </w:tcPr>
          <w:p w14:paraId="0C6D407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102</w:t>
            </w:r>
          </w:p>
        </w:tc>
      </w:tr>
      <w:tr w:rsidR="005842E4" w14:paraId="032AD486"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07231F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Eastern Province</w:t>
            </w:r>
          </w:p>
        </w:tc>
        <w:tc>
          <w:tcPr>
            <w:tcW w:w="600" w:type="dxa"/>
            <w:tcBorders>
              <w:top w:val="single" w:sz="4" w:space="0" w:color="auto"/>
              <w:left w:val="single" w:sz="4" w:space="0" w:color="auto"/>
              <w:bottom w:val="single" w:sz="4" w:space="0" w:color="auto"/>
              <w:right w:val="single" w:sz="4" w:space="0" w:color="auto"/>
            </w:tcBorders>
          </w:tcPr>
          <w:p w14:paraId="27F3AC8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w:t>
            </w:r>
          </w:p>
        </w:tc>
        <w:tc>
          <w:tcPr>
            <w:tcW w:w="1308" w:type="dxa"/>
            <w:tcBorders>
              <w:top w:val="single" w:sz="4" w:space="0" w:color="auto"/>
              <w:left w:val="single" w:sz="4" w:space="0" w:color="auto"/>
              <w:bottom w:val="single" w:sz="4" w:space="0" w:color="auto"/>
              <w:right w:val="single" w:sz="4" w:space="0" w:color="auto"/>
            </w:tcBorders>
            <w:noWrap/>
            <w:hideMark/>
          </w:tcPr>
          <w:p w14:paraId="4A2E315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800</w:t>
            </w:r>
          </w:p>
        </w:tc>
        <w:tc>
          <w:tcPr>
            <w:tcW w:w="1388" w:type="dxa"/>
            <w:tcBorders>
              <w:top w:val="single" w:sz="4" w:space="0" w:color="auto"/>
              <w:left w:val="single" w:sz="4" w:space="0" w:color="auto"/>
              <w:bottom w:val="single" w:sz="4" w:space="0" w:color="auto"/>
              <w:right w:val="single" w:sz="4" w:space="0" w:color="auto"/>
            </w:tcBorders>
            <w:noWrap/>
            <w:hideMark/>
          </w:tcPr>
          <w:p w14:paraId="692804A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364</w:t>
            </w:r>
          </w:p>
        </w:tc>
        <w:tc>
          <w:tcPr>
            <w:tcW w:w="1308" w:type="dxa"/>
            <w:tcBorders>
              <w:top w:val="single" w:sz="4" w:space="0" w:color="auto"/>
              <w:left w:val="single" w:sz="4" w:space="0" w:color="auto"/>
              <w:bottom w:val="single" w:sz="4" w:space="0" w:color="auto"/>
              <w:right w:val="single" w:sz="4" w:space="0" w:color="auto"/>
            </w:tcBorders>
            <w:noWrap/>
            <w:hideMark/>
          </w:tcPr>
          <w:p w14:paraId="3F47C5B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313</w:t>
            </w:r>
          </w:p>
        </w:tc>
        <w:tc>
          <w:tcPr>
            <w:tcW w:w="1286" w:type="dxa"/>
            <w:tcBorders>
              <w:top w:val="single" w:sz="4" w:space="0" w:color="auto"/>
              <w:left w:val="single" w:sz="4" w:space="0" w:color="auto"/>
              <w:bottom w:val="single" w:sz="4" w:space="0" w:color="auto"/>
              <w:right w:val="single" w:sz="4" w:space="0" w:color="auto"/>
            </w:tcBorders>
            <w:noWrap/>
            <w:hideMark/>
          </w:tcPr>
          <w:p w14:paraId="3F792D7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4081</w:t>
            </w:r>
          </w:p>
        </w:tc>
        <w:tc>
          <w:tcPr>
            <w:tcW w:w="1308" w:type="dxa"/>
            <w:tcBorders>
              <w:top w:val="single" w:sz="4" w:space="0" w:color="auto"/>
              <w:left w:val="single" w:sz="4" w:space="0" w:color="auto"/>
              <w:bottom w:val="single" w:sz="4" w:space="0" w:color="auto"/>
              <w:right w:val="single" w:sz="4" w:space="0" w:color="auto"/>
            </w:tcBorders>
            <w:noWrap/>
            <w:hideMark/>
          </w:tcPr>
          <w:p w14:paraId="26D2E1B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1113</w:t>
            </w:r>
          </w:p>
        </w:tc>
      </w:tr>
      <w:tr w:rsidR="005842E4" w14:paraId="7B9282E2"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1D27C96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Al-Qassim</w:t>
            </w:r>
          </w:p>
        </w:tc>
        <w:tc>
          <w:tcPr>
            <w:tcW w:w="600" w:type="dxa"/>
            <w:tcBorders>
              <w:top w:val="single" w:sz="4" w:space="0" w:color="auto"/>
              <w:left w:val="single" w:sz="4" w:space="0" w:color="auto"/>
              <w:bottom w:val="single" w:sz="4" w:space="0" w:color="auto"/>
              <w:right w:val="single" w:sz="4" w:space="0" w:color="auto"/>
            </w:tcBorders>
          </w:tcPr>
          <w:p w14:paraId="1A6590F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1308" w:type="dxa"/>
            <w:tcBorders>
              <w:top w:val="single" w:sz="4" w:space="0" w:color="auto"/>
              <w:left w:val="single" w:sz="4" w:space="0" w:color="auto"/>
              <w:bottom w:val="single" w:sz="4" w:space="0" w:color="auto"/>
              <w:right w:val="single" w:sz="4" w:space="0" w:color="auto"/>
            </w:tcBorders>
            <w:noWrap/>
            <w:hideMark/>
          </w:tcPr>
          <w:p w14:paraId="4578295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w:t>
            </w:r>
          </w:p>
        </w:tc>
        <w:tc>
          <w:tcPr>
            <w:tcW w:w="1388" w:type="dxa"/>
            <w:tcBorders>
              <w:top w:val="single" w:sz="4" w:space="0" w:color="auto"/>
              <w:left w:val="single" w:sz="4" w:space="0" w:color="auto"/>
              <w:bottom w:val="single" w:sz="4" w:space="0" w:color="auto"/>
              <w:right w:val="single" w:sz="4" w:space="0" w:color="auto"/>
            </w:tcBorders>
            <w:noWrap/>
            <w:hideMark/>
          </w:tcPr>
          <w:p w14:paraId="2DD6592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106</w:t>
            </w:r>
          </w:p>
        </w:tc>
        <w:tc>
          <w:tcPr>
            <w:tcW w:w="1308" w:type="dxa"/>
            <w:tcBorders>
              <w:top w:val="single" w:sz="4" w:space="0" w:color="auto"/>
              <w:left w:val="single" w:sz="4" w:space="0" w:color="auto"/>
              <w:bottom w:val="single" w:sz="4" w:space="0" w:color="auto"/>
              <w:right w:val="single" w:sz="4" w:space="0" w:color="auto"/>
            </w:tcBorders>
            <w:noWrap/>
            <w:hideMark/>
          </w:tcPr>
          <w:p w14:paraId="1327EF2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91</w:t>
            </w:r>
          </w:p>
        </w:tc>
        <w:tc>
          <w:tcPr>
            <w:tcW w:w="1286" w:type="dxa"/>
            <w:tcBorders>
              <w:top w:val="single" w:sz="4" w:space="0" w:color="auto"/>
              <w:left w:val="single" w:sz="4" w:space="0" w:color="auto"/>
              <w:bottom w:val="single" w:sz="4" w:space="0" w:color="auto"/>
              <w:right w:val="single" w:sz="4" w:space="0" w:color="auto"/>
            </w:tcBorders>
            <w:noWrap/>
            <w:hideMark/>
          </w:tcPr>
          <w:p w14:paraId="7E0DD8B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343</w:t>
            </w:r>
          </w:p>
        </w:tc>
        <w:tc>
          <w:tcPr>
            <w:tcW w:w="1308" w:type="dxa"/>
            <w:tcBorders>
              <w:top w:val="single" w:sz="4" w:space="0" w:color="auto"/>
              <w:left w:val="single" w:sz="4" w:space="0" w:color="auto"/>
              <w:bottom w:val="single" w:sz="4" w:space="0" w:color="auto"/>
              <w:right w:val="single" w:sz="4" w:space="0" w:color="auto"/>
            </w:tcBorders>
            <w:noWrap/>
            <w:hideMark/>
          </w:tcPr>
          <w:p w14:paraId="7440F8B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142</w:t>
            </w:r>
          </w:p>
        </w:tc>
      </w:tr>
      <w:tr w:rsidR="005842E4" w14:paraId="1469C091"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EB4026D"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Bahah</w:t>
            </w:r>
            <w:proofErr w:type="spellEnd"/>
          </w:p>
        </w:tc>
        <w:tc>
          <w:tcPr>
            <w:tcW w:w="600" w:type="dxa"/>
            <w:tcBorders>
              <w:top w:val="single" w:sz="4" w:space="0" w:color="auto"/>
              <w:left w:val="single" w:sz="4" w:space="0" w:color="auto"/>
              <w:bottom w:val="single" w:sz="4" w:space="0" w:color="auto"/>
              <w:right w:val="single" w:sz="4" w:space="0" w:color="auto"/>
            </w:tcBorders>
          </w:tcPr>
          <w:p w14:paraId="1ACDDFD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w:t>
            </w:r>
          </w:p>
        </w:tc>
        <w:tc>
          <w:tcPr>
            <w:tcW w:w="1308" w:type="dxa"/>
            <w:tcBorders>
              <w:top w:val="single" w:sz="4" w:space="0" w:color="auto"/>
              <w:left w:val="single" w:sz="4" w:space="0" w:color="auto"/>
              <w:bottom w:val="single" w:sz="4" w:space="0" w:color="auto"/>
              <w:right w:val="single" w:sz="4" w:space="0" w:color="auto"/>
            </w:tcBorders>
            <w:noWrap/>
            <w:hideMark/>
          </w:tcPr>
          <w:p w14:paraId="67114FE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27</w:t>
            </w:r>
          </w:p>
        </w:tc>
        <w:tc>
          <w:tcPr>
            <w:tcW w:w="1388" w:type="dxa"/>
            <w:tcBorders>
              <w:top w:val="single" w:sz="4" w:space="0" w:color="auto"/>
              <w:left w:val="single" w:sz="4" w:space="0" w:color="auto"/>
              <w:bottom w:val="single" w:sz="4" w:space="0" w:color="auto"/>
              <w:right w:val="single" w:sz="4" w:space="0" w:color="auto"/>
            </w:tcBorders>
            <w:noWrap/>
            <w:hideMark/>
          </w:tcPr>
          <w:p w14:paraId="1E3393C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1308" w:type="dxa"/>
            <w:tcBorders>
              <w:top w:val="single" w:sz="4" w:space="0" w:color="auto"/>
              <w:left w:val="single" w:sz="4" w:space="0" w:color="auto"/>
              <w:bottom w:val="single" w:sz="4" w:space="0" w:color="auto"/>
              <w:right w:val="single" w:sz="4" w:space="0" w:color="auto"/>
            </w:tcBorders>
            <w:noWrap/>
            <w:hideMark/>
          </w:tcPr>
          <w:p w14:paraId="3BBA30D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286" w:type="dxa"/>
            <w:tcBorders>
              <w:top w:val="single" w:sz="4" w:space="0" w:color="auto"/>
              <w:left w:val="single" w:sz="4" w:space="0" w:color="auto"/>
              <w:bottom w:val="single" w:sz="4" w:space="0" w:color="auto"/>
              <w:right w:val="single" w:sz="4" w:space="0" w:color="auto"/>
            </w:tcBorders>
            <w:noWrap/>
            <w:hideMark/>
          </w:tcPr>
          <w:p w14:paraId="70F043E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130</w:t>
            </w:r>
          </w:p>
        </w:tc>
        <w:tc>
          <w:tcPr>
            <w:tcW w:w="1308" w:type="dxa"/>
            <w:tcBorders>
              <w:top w:val="single" w:sz="4" w:space="0" w:color="auto"/>
              <w:left w:val="single" w:sz="4" w:space="0" w:color="auto"/>
              <w:bottom w:val="single" w:sz="4" w:space="0" w:color="auto"/>
              <w:right w:val="single" w:sz="4" w:space="0" w:color="auto"/>
            </w:tcBorders>
            <w:noWrap/>
            <w:hideMark/>
          </w:tcPr>
          <w:p w14:paraId="4C69DDA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30</w:t>
            </w:r>
          </w:p>
        </w:tc>
      </w:tr>
      <w:tr w:rsidR="005842E4" w14:paraId="63840B62"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80D2D2E"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Ha'il</w:t>
            </w:r>
            <w:proofErr w:type="spellEnd"/>
          </w:p>
        </w:tc>
        <w:tc>
          <w:tcPr>
            <w:tcW w:w="600" w:type="dxa"/>
            <w:tcBorders>
              <w:top w:val="single" w:sz="4" w:space="0" w:color="auto"/>
              <w:left w:val="single" w:sz="4" w:space="0" w:color="auto"/>
              <w:bottom w:val="single" w:sz="4" w:space="0" w:color="auto"/>
              <w:right w:val="single" w:sz="4" w:space="0" w:color="auto"/>
            </w:tcBorders>
          </w:tcPr>
          <w:p w14:paraId="6C8B018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308" w:type="dxa"/>
            <w:tcBorders>
              <w:top w:val="single" w:sz="4" w:space="0" w:color="auto"/>
              <w:left w:val="single" w:sz="4" w:space="0" w:color="auto"/>
              <w:bottom w:val="single" w:sz="4" w:space="0" w:color="auto"/>
              <w:right w:val="single" w:sz="4" w:space="0" w:color="auto"/>
            </w:tcBorders>
            <w:noWrap/>
            <w:hideMark/>
          </w:tcPr>
          <w:p w14:paraId="2BC633E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w:t>
            </w:r>
          </w:p>
        </w:tc>
        <w:tc>
          <w:tcPr>
            <w:tcW w:w="1388" w:type="dxa"/>
            <w:tcBorders>
              <w:top w:val="single" w:sz="4" w:space="0" w:color="auto"/>
              <w:left w:val="single" w:sz="4" w:space="0" w:color="auto"/>
              <w:bottom w:val="single" w:sz="4" w:space="0" w:color="auto"/>
              <w:right w:val="single" w:sz="4" w:space="0" w:color="auto"/>
            </w:tcBorders>
            <w:noWrap/>
            <w:hideMark/>
          </w:tcPr>
          <w:p w14:paraId="6DC287B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5ADDBDB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07C4ED7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170</w:t>
            </w:r>
          </w:p>
        </w:tc>
        <w:tc>
          <w:tcPr>
            <w:tcW w:w="1308" w:type="dxa"/>
            <w:tcBorders>
              <w:top w:val="single" w:sz="4" w:space="0" w:color="auto"/>
              <w:left w:val="single" w:sz="4" w:space="0" w:color="auto"/>
              <w:bottom w:val="single" w:sz="4" w:space="0" w:color="auto"/>
              <w:right w:val="single" w:sz="4" w:space="0" w:color="auto"/>
            </w:tcBorders>
            <w:noWrap/>
            <w:hideMark/>
          </w:tcPr>
          <w:p w14:paraId="28D737C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w:t>
            </w:r>
          </w:p>
        </w:tc>
      </w:tr>
      <w:tr w:rsidR="005842E4" w14:paraId="27369E4E"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5BB5A7F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Northern Borders</w:t>
            </w:r>
          </w:p>
        </w:tc>
        <w:tc>
          <w:tcPr>
            <w:tcW w:w="600" w:type="dxa"/>
            <w:tcBorders>
              <w:top w:val="single" w:sz="4" w:space="0" w:color="auto"/>
              <w:left w:val="single" w:sz="4" w:space="0" w:color="auto"/>
              <w:bottom w:val="single" w:sz="4" w:space="0" w:color="auto"/>
              <w:right w:val="single" w:sz="4" w:space="0" w:color="auto"/>
            </w:tcBorders>
          </w:tcPr>
          <w:p w14:paraId="62FA524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38333E9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88" w:type="dxa"/>
            <w:tcBorders>
              <w:top w:val="single" w:sz="4" w:space="0" w:color="auto"/>
              <w:left w:val="single" w:sz="4" w:space="0" w:color="auto"/>
              <w:bottom w:val="single" w:sz="4" w:space="0" w:color="auto"/>
              <w:right w:val="single" w:sz="4" w:space="0" w:color="auto"/>
            </w:tcBorders>
            <w:noWrap/>
            <w:hideMark/>
          </w:tcPr>
          <w:p w14:paraId="20F4132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4E90584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1298493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773E2C4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296C231D"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7563D4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Jizan</w:t>
            </w:r>
          </w:p>
        </w:tc>
        <w:tc>
          <w:tcPr>
            <w:tcW w:w="600" w:type="dxa"/>
            <w:tcBorders>
              <w:top w:val="single" w:sz="4" w:space="0" w:color="auto"/>
              <w:left w:val="single" w:sz="4" w:space="0" w:color="auto"/>
              <w:bottom w:val="single" w:sz="4" w:space="0" w:color="auto"/>
              <w:right w:val="single" w:sz="4" w:space="0" w:color="auto"/>
            </w:tcBorders>
          </w:tcPr>
          <w:p w14:paraId="11DA2FE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308" w:type="dxa"/>
            <w:tcBorders>
              <w:top w:val="single" w:sz="4" w:space="0" w:color="auto"/>
              <w:left w:val="single" w:sz="4" w:space="0" w:color="auto"/>
              <w:bottom w:val="single" w:sz="4" w:space="0" w:color="auto"/>
              <w:right w:val="single" w:sz="4" w:space="0" w:color="auto"/>
            </w:tcBorders>
            <w:noWrap/>
            <w:hideMark/>
          </w:tcPr>
          <w:p w14:paraId="7A6B4DA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46</w:t>
            </w:r>
          </w:p>
        </w:tc>
        <w:tc>
          <w:tcPr>
            <w:tcW w:w="1388" w:type="dxa"/>
            <w:tcBorders>
              <w:top w:val="single" w:sz="4" w:space="0" w:color="auto"/>
              <w:left w:val="single" w:sz="4" w:space="0" w:color="auto"/>
              <w:bottom w:val="single" w:sz="4" w:space="0" w:color="auto"/>
              <w:right w:val="single" w:sz="4" w:space="0" w:color="auto"/>
            </w:tcBorders>
            <w:noWrap/>
            <w:hideMark/>
          </w:tcPr>
          <w:p w14:paraId="018F297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36</w:t>
            </w:r>
          </w:p>
        </w:tc>
        <w:tc>
          <w:tcPr>
            <w:tcW w:w="1308" w:type="dxa"/>
            <w:tcBorders>
              <w:top w:val="single" w:sz="4" w:space="0" w:color="auto"/>
              <w:left w:val="single" w:sz="4" w:space="0" w:color="auto"/>
              <w:bottom w:val="single" w:sz="4" w:space="0" w:color="auto"/>
              <w:right w:val="single" w:sz="4" w:space="0" w:color="auto"/>
            </w:tcBorders>
            <w:noWrap/>
            <w:hideMark/>
          </w:tcPr>
          <w:p w14:paraId="6C36380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31</w:t>
            </w:r>
          </w:p>
        </w:tc>
        <w:tc>
          <w:tcPr>
            <w:tcW w:w="1286" w:type="dxa"/>
            <w:tcBorders>
              <w:top w:val="single" w:sz="4" w:space="0" w:color="auto"/>
              <w:left w:val="single" w:sz="4" w:space="0" w:color="auto"/>
              <w:bottom w:val="single" w:sz="4" w:space="0" w:color="auto"/>
              <w:right w:val="single" w:sz="4" w:space="0" w:color="auto"/>
            </w:tcBorders>
            <w:noWrap/>
            <w:hideMark/>
          </w:tcPr>
          <w:p w14:paraId="7711670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250</w:t>
            </w:r>
          </w:p>
        </w:tc>
        <w:tc>
          <w:tcPr>
            <w:tcW w:w="1308" w:type="dxa"/>
            <w:tcBorders>
              <w:top w:val="single" w:sz="4" w:space="0" w:color="auto"/>
              <w:left w:val="single" w:sz="4" w:space="0" w:color="auto"/>
              <w:bottom w:val="single" w:sz="4" w:space="0" w:color="auto"/>
              <w:right w:val="single" w:sz="4" w:space="0" w:color="auto"/>
            </w:tcBorders>
            <w:noWrap/>
            <w:hideMark/>
          </w:tcPr>
          <w:p w14:paraId="71AA32C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77</w:t>
            </w:r>
          </w:p>
        </w:tc>
      </w:tr>
      <w:tr w:rsidR="005842E4" w14:paraId="6D0FC9A6"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348BE960"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Jawf</w:t>
            </w:r>
            <w:proofErr w:type="spellEnd"/>
          </w:p>
        </w:tc>
        <w:tc>
          <w:tcPr>
            <w:tcW w:w="600" w:type="dxa"/>
            <w:tcBorders>
              <w:top w:val="single" w:sz="4" w:space="0" w:color="auto"/>
              <w:left w:val="single" w:sz="4" w:space="0" w:color="auto"/>
              <w:bottom w:val="single" w:sz="4" w:space="0" w:color="auto"/>
              <w:right w:val="single" w:sz="4" w:space="0" w:color="auto"/>
            </w:tcBorders>
          </w:tcPr>
          <w:p w14:paraId="7684D98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619AA93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88" w:type="dxa"/>
            <w:tcBorders>
              <w:top w:val="single" w:sz="4" w:space="0" w:color="auto"/>
              <w:left w:val="single" w:sz="4" w:space="0" w:color="auto"/>
              <w:bottom w:val="single" w:sz="4" w:space="0" w:color="auto"/>
              <w:right w:val="single" w:sz="4" w:space="0" w:color="auto"/>
            </w:tcBorders>
            <w:noWrap/>
            <w:hideMark/>
          </w:tcPr>
          <w:p w14:paraId="055BCA8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2D7655F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286" w:type="dxa"/>
            <w:tcBorders>
              <w:top w:val="single" w:sz="4" w:space="0" w:color="auto"/>
              <w:left w:val="single" w:sz="4" w:space="0" w:color="auto"/>
              <w:bottom w:val="single" w:sz="4" w:space="0" w:color="auto"/>
              <w:right w:val="single" w:sz="4" w:space="0" w:color="auto"/>
            </w:tcBorders>
            <w:noWrap/>
            <w:hideMark/>
          </w:tcPr>
          <w:p w14:paraId="2FCBECC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c>
          <w:tcPr>
            <w:tcW w:w="1308" w:type="dxa"/>
            <w:tcBorders>
              <w:top w:val="single" w:sz="4" w:space="0" w:color="auto"/>
              <w:left w:val="single" w:sz="4" w:space="0" w:color="auto"/>
              <w:bottom w:val="single" w:sz="4" w:space="0" w:color="auto"/>
              <w:right w:val="single" w:sz="4" w:space="0" w:color="auto"/>
            </w:tcBorders>
            <w:noWrap/>
            <w:hideMark/>
          </w:tcPr>
          <w:p w14:paraId="3D4722D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0</w:t>
            </w:r>
          </w:p>
        </w:tc>
      </w:tr>
      <w:tr w:rsidR="005842E4" w14:paraId="13948987" w14:textId="77777777" w:rsidTr="00BF2F0C">
        <w:trPr>
          <w:trHeight w:val="315"/>
        </w:trPr>
        <w:tc>
          <w:tcPr>
            <w:tcW w:w="2152" w:type="dxa"/>
            <w:tcBorders>
              <w:top w:val="single" w:sz="4" w:space="0" w:color="auto"/>
              <w:left w:val="single" w:sz="4" w:space="0" w:color="auto"/>
              <w:bottom w:val="single" w:sz="4" w:space="0" w:color="auto"/>
              <w:right w:val="single" w:sz="4" w:space="0" w:color="auto"/>
            </w:tcBorders>
            <w:noWrap/>
            <w:hideMark/>
          </w:tcPr>
          <w:p w14:paraId="11B7CCB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Najran</w:t>
            </w:r>
          </w:p>
        </w:tc>
        <w:tc>
          <w:tcPr>
            <w:tcW w:w="600" w:type="dxa"/>
            <w:tcBorders>
              <w:top w:val="single" w:sz="4" w:space="0" w:color="auto"/>
              <w:left w:val="single" w:sz="4" w:space="0" w:color="auto"/>
              <w:bottom w:val="single" w:sz="4" w:space="0" w:color="auto"/>
              <w:right w:val="single" w:sz="4" w:space="0" w:color="auto"/>
            </w:tcBorders>
          </w:tcPr>
          <w:p w14:paraId="533508B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w:t>
            </w:r>
          </w:p>
        </w:tc>
        <w:tc>
          <w:tcPr>
            <w:tcW w:w="1308" w:type="dxa"/>
            <w:tcBorders>
              <w:top w:val="single" w:sz="4" w:space="0" w:color="auto"/>
              <w:left w:val="single" w:sz="4" w:space="0" w:color="auto"/>
              <w:bottom w:val="single" w:sz="4" w:space="0" w:color="auto"/>
              <w:right w:val="single" w:sz="4" w:space="0" w:color="auto"/>
            </w:tcBorders>
            <w:noWrap/>
            <w:hideMark/>
          </w:tcPr>
          <w:p w14:paraId="349BD02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48</w:t>
            </w:r>
          </w:p>
        </w:tc>
        <w:tc>
          <w:tcPr>
            <w:tcW w:w="1388" w:type="dxa"/>
            <w:tcBorders>
              <w:top w:val="single" w:sz="4" w:space="0" w:color="auto"/>
              <w:left w:val="single" w:sz="4" w:space="0" w:color="auto"/>
              <w:bottom w:val="single" w:sz="4" w:space="0" w:color="auto"/>
              <w:right w:val="single" w:sz="4" w:space="0" w:color="auto"/>
            </w:tcBorders>
            <w:noWrap/>
            <w:hideMark/>
          </w:tcPr>
          <w:p w14:paraId="588C940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w:t>
            </w:r>
          </w:p>
        </w:tc>
        <w:tc>
          <w:tcPr>
            <w:tcW w:w="1308" w:type="dxa"/>
            <w:tcBorders>
              <w:top w:val="single" w:sz="4" w:space="0" w:color="auto"/>
              <w:left w:val="single" w:sz="4" w:space="0" w:color="auto"/>
              <w:bottom w:val="single" w:sz="4" w:space="0" w:color="auto"/>
              <w:right w:val="single" w:sz="4" w:space="0" w:color="auto"/>
            </w:tcBorders>
            <w:noWrap/>
            <w:hideMark/>
          </w:tcPr>
          <w:p w14:paraId="241784B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w:t>
            </w:r>
          </w:p>
        </w:tc>
        <w:tc>
          <w:tcPr>
            <w:tcW w:w="1286" w:type="dxa"/>
            <w:tcBorders>
              <w:top w:val="single" w:sz="4" w:space="0" w:color="auto"/>
              <w:left w:val="single" w:sz="4" w:space="0" w:color="auto"/>
              <w:bottom w:val="single" w:sz="4" w:space="0" w:color="auto"/>
              <w:right w:val="single" w:sz="4" w:space="0" w:color="auto"/>
            </w:tcBorders>
            <w:noWrap/>
            <w:hideMark/>
          </w:tcPr>
          <w:p w14:paraId="354A645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250</w:t>
            </w:r>
          </w:p>
        </w:tc>
        <w:tc>
          <w:tcPr>
            <w:tcW w:w="1308" w:type="dxa"/>
            <w:tcBorders>
              <w:top w:val="single" w:sz="4" w:space="0" w:color="auto"/>
              <w:left w:val="single" w:sz="4" w:space="0" w:color="auto"/>
              <w:bottom w:val="single" w:sz="4" w:space="0" w:color="auto"/>
              <w:right w:val="single" w:sz="4" w:space="0" w:color="auto"/>
            </w:tcBorders>
            <w:noWrap/>
            <w:hideMark/>
          </w:tcPr>
          <w:p w14:paraId="01F79ED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70</w:t>
            </w:r>
          </w:p>
        </w:tc>
      </w:tr>
      <w:tr w:rsidR="005842E4" w14:paraId="24938259" w14:textId="77777777" w:rsidTr="00BF2F0C">
        <w:trPr>
          <w:trHeight w:val="301"/>
        </w:trPr>
        <w:tc>
          <w:tcPr>
            <w:tcW w:w="2152" w:type="dxa"/>
            <w:tcBorders>
              <w:top w:val="single" w:sz="4" w:space="0" w:color="auto"/>
              <w:left w:val="single" w:sz="4" w:space="0" w:color="auto"/>
              <w:bottom w:val="single" w:sz="4" w:space="0" w:color="auto"/>
              <w:right w:val="single" w:sz="4" w:space="0" w:color="auto"/>
            </w:tcBorders>
            <w:noWrap/>
            <w:hideMark/>
          </w:tcPr>
          <w:p w14:paraId="446CAC1A"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Asir</w:t>
            </w:r>
            <w:proofErr w:type="spellEnd"/>
          </w:p>
        </w:tc>
        <w:tc>
          <w:tcPr>
            <w:tcW w:w="600" w:type="dxa"/>
            <w:tcBorders>
              <w:top w:val="single" w:sz="4" w:space="0" w:color="auto"/>
              <w:left w:val="single" w:sz="4" w:space="0" w:color="auto"/>
              <w:bottom w:val="single" w:sz="4" w:space="0" w:color="auto"/>
              <w:right w:val="single" w:sz="4" w:space="0" w:color="auto"/>
            </w:tcBorders>
          </w:tcPr>
          <w:p w14:paraId="18134AC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w:t>
            </w:r>
          </w:p>
        </w:tc>
        <w:tc>
          <w:tcPr>
            <w:tcW w:w="1308" w:type="dxa"/>
            <w:tcBorders>
              <w:top w:val="single" w:sz="4" w:space="0" w:color="auto"/>
              <w:left w:val="single" w:sz="4" w:space="0" w:color="auto"/>
              <w:bottom w:val="single" w:sz="4" w:space="0" w:color="auto"/>
              <w:right w:val="single" w:sz="4" w:space="0" w:color="auto"/>
            </w:tcBorders>
            <w:noWrap/>
            <w:hideMark/>
          </w:tcPr>
          <w:p w14:paraId="3729366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223</w:t>
            </w:r>
          </w:p>
        </w:tc>
        <w:tc>
          <w:tcPr>
            <w:tcW w:w="1388" w:type="dxa"/>
            <w:tcBorders>
              <w:top w:val="single" w:sz="4" w:space="0" w:color="auto"/>
              <w:left w:val="single" w:sz="4" w:space="0" w:color="auto"/>
              <w:bottom w:val="single" w:sz="4" w:space="0" w:color="auto"/>
              <w:right w:val="single" w:sz="4" w:space="0" w:color="auto"/>
            </w:tcBorders>
            <w:noWrap/>
            <w:hideMark/>
          </w:tcPr>
          <w:p w14:paraId="43199D8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101</w:t>
            </w:r>
          </w:p>
        </w:tc>
        <w:tc>
          <w:tcPr>
            <w:tcW w:w="1308" w:type="dxa"/>
            <w:tcBorders>
              <w:top w:val="single" w:sz="4" w:space="0" w:color="auto"/>
              <w:left w:val="single" w:sz="4" w:space="0" w:color="auto"/>
              <w:bottom w:val="single" w:sz="4" w:space="0" w:color="auto"/>
              <w:right w:val="single" w:sz="4" w:space="0" w:color="auto"/>
            </w:tcBorders>
            <w:noWrap/>
            <w:hideMark/>
          </w:tcPr>
          <w:p w14:paraId="48BE460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87</w:t>
            </w:r>
          </w:p>
        </w:tc>
        <w:tc>
          <w:tcPr>
            <w:tcW w:w="1286" w:type="dxa"/>
            <w:tcBorders>
              <w:top w:val="single" w:sz="4" w:space="0" w:color="auto"/>
              <w:left w:val="single" w:sz="4" w:space="0" w:color="auto"/>
              <w:bottom w:val="single" w:sz="4" w:space="0" w:color="auto"/>
              <w:right w:val="single" w:sz="4" w:space="0" w:color="auto"/>
            </w:tcBorders>
            <w:noWrap/>
            <w:hideMark/>
          </w:tcPr>
          <w:p w14:paraId="469039A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1137</w:t>
            </w:r>
          </w:p>
        </w:tc>
        <w:tc>
          <w:tcPr>
            <w:tcW w:w="1308" w:type="dxa"/>
            <w:tcBorders>
              <w:top w:val="single" w:sz="4" w:space="0" w:color="auto"/>
              <w:left w:val="single" w:sz="4" w:space="0" w:color="auto"/>
              <w:bottom w:val="single" w:sz="4" w:space="0" w:color="auto"/>
              <w:right w:val="single" w:sz="4" w:space="0" w:color="auto"/>
            </w:tcBorders>
            <w:noWrap/>
            <w:hideMark/>
          </w:tcPr>
          <w:p w14:paraId="26018D3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310</w:t>
            </w:r>
          </w:p>
        </w:tc>
      </w:tr>
      <w:tr w:rsidR="005842E4" w14:paraId="3061F861" w14:textId="77777777" w:rsidTr="00BF2F0C">
        <w:trPr>
          <w:trHeight w:val="301"/>
        </w:trPr>
        <w:tc>
          <w:tcPr>
            <w:tcW w:w="2152" w:type="dxa"/>
            <w:tcBorders>
              <w:top w:val="single" w:sz="4" w:space="0" w:color="auto"/>
              <w:left w:val="single" w:sz="4" w:space="0" w:color="auto"/>
              <w:bottom w:val="single" w:sz="4" w:space="0" w:color="auto"/>
              <w:right w:val="single" w:sz="4" w:space="0" w:color="auto"/>
            </w:tcBorders>
            <w:noWrap/>
            <w:hideMark/>
          </w:tcPr>
          <w:p w14:paraId="49FC647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w:t>
            </w:r>
          </w:p>
        </w:tc>
        <w:tc>
          <w:tcPr>
            <w:tcW w:w="600" w:type="dxa"/>
            <w:tcBorders>
              <w:top w:val="single" w:sz="4" w:space="0" w:color="auto"/>
              <w:left w:val="single" w:sz="4" w:space="0" w:color="auto"/>
              <w:bottom w:val="single" w:sz="4" w:space="0" w:color="auto"/>
              <w:right w:val="single" w:sz="4" w:space="0" w:color="auto"/>
            </w:tcBorders>
          </w:tcPr>
          <w:p w14:paraId="72A7757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163</w:t>
            </w:r>
          </w:p>
        </w:tc>
        <w:tc>
          <w:tcPr>
            <w:tcW w:w="1308" w:type="dxa"/>
            <w:tcBorders>
              <w:top w:val="single" w:sz="4" w:space="0" w:color="auto"/>
              <w:left w:val="single" w:sz="4" w:space="0" w:color="auto"/>
              <w:bottom w:val="single" w:sz="4" w:space="0" w:color="auto"/>
              <w:right w:val="single" w:sz="4" w:space="0" w:color="auto"/>
            </w:tcBorders>
            <w:noWrap/>
            <w:hideMark/>
          </w:tcPr>
          <w:p w14:paraId="1D52F5B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3704</w:t>
            </w:r>
          </w:p>
        </w:tc>
        <w:tc>
          <w:tcPr>
            <w:tcW w:w="1388" w:type="dxa"/>
            <w:tcBorders>
              <w:top w:val="single" w:sz="4" w:space="0" w:color="auto"/>
              <w:left w:val="single" w:sz="4" w:space="0" w:color="auto"/>
              <w:bottom w:val="single" w:sz="4" w:space="0" w:color="auto"/>
              <w:right w:val="single" w:sz="4" w:space="0" w:color="auto"/>
            </w:tcBorders>
            <w:noWrap/>
            <w:hideMark/>
          </w:tcPr>
          <w:p w14:paraId="12A9DF2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1676</w:t>
            </w:r>
          </w:p>
        </w:tc>
        <w:tc>
          <w:tcPr>
            <w:tcW w:w="1308" w:type="dxa"/>
            <w:tcBorders>
              <w:top w:val="single" w:sz="4" w:space="0" w:color="auto"/>
              <w:left w:val="single" w:sz="4" w:space="0" w:color="auto"/>
              <w:bottom w:val="single" w:sz="4" w:space="0" w:color="auto"/>
              <w:right w:val="single" w:sz="4" w:space="0" w:color="auto"/>
            </w:tcBorders>
            <w:noWrap/>
            <w:hideMark/>
          </w:tcPr>
          <w:p w14:paraId="19E1A0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1442</w:t>
            </w:r>
          </w:p>
        </w:tc>
        <w:tc>
          <w:tcPr>
            <w:tcW w:w="1286" w:type="dxa"/>
            <w:tcBorders>
              <w:top w:val="single" w:sz="4" w:space="0" w:color="auto"/>
              <w:left w:val="single" w:sz="4" w:space="0" w:color="auto"/>
              <w:bottom w:val="single" w:sz="4" w:space="0" w:color="auto"/>
              <w:right w:val="single" w:sz="4" w:space="0" w:color="auto"/>
            </w:tcBorders>
            <w:noWrap/>
            <w:hideMark/>
          </w:tcPr>
          <w:p w14:paraId="7FD51CB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18883</w:t>
            </w:r>
          </w:p>
        </w:tc>
        <w:tc>
          <w:tcPr>
            <w:tcW w:w="1308" w:type="dxa"/>
            <w:tcBorders>
              <w:top w:val="single" w:sz="4" w:space="0" w:color="auto"/>
              <w:left w:val="single" w:sz="4" w:space="0" w:color="auto"/>
              <w:bottom w:val="single" w:sz="4" w:space="0" w:color="auto"/>
              <w:right w:val="single" w:sz="4" w:space="0" w:color="auto"/>
            </w:tcBorders>
            <w:noWrap/>
            <w:hideMark/>
          </w:tcPr>
          <w:p w14:paraId="2DBC6B0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5146</w:t>
            </w:r>
          </w:p>
        </w:tc>
      </w:tr>
    </w:tbl>
    <w:p w14:paraId="3982741C"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end"/>
      </w: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LINK Excel.Sheet.12 "C:\\Users\\Guya\\Desktop\\KSA_Staffing_Plan.xlsx" "KSA RTs!R36C18:R57C26" \a \f 5 \h  \* MERGEFORMAT </w:instrText>
      </w:r>
      <w:r>
        <w:rPr>
          <w:rFonts w:ascii="Times New Roman" w:eastAsiaTheme="minorEastAsia" w:hAnsi="Times New Roman" w:cs="Times New Roman"/>
          <w:sz w:val="24"/>
          <w:szCs w:val="24"/>
        </w:rPr>
        <w:fldChar w:fldCharType="separate"/>
      </w:r>
    </w:p>
    <w:p w14:paraId="5CAD2BF7" w14:textId="77777777" w:rsidR="005842E4" w:rsidRDefault="005842E4" w:rsidP="006E34BB">
      <w:pPr>
        <w:pStyle w:val="Caption"/>
        <w:keepNext/>
        <w:spacing w:line="360" w:lineRule="auto"/>
        <w:jc w:val="both"/>
      </w:pPr>
      <w:r>
        <w:t xml:space="preserve">Table </w:t>
      </w:r>
      <w:r>
        <w:fldChar w:fldCharType="begin"/>
      </w:r>
      <w:r>
        <w:instrText xml:space="preserve"> SEQ Table \* ARABIC </w:instrText>
      </w:r>
      <w:r>
        <w:fldChar w:fldCharType="separate"/>
      </w:r>
      <w:r>
        <w:rPr>
          <w:noProof/>
        </w:rPr>
        <w:t>5</w:t>
      </w:r>
      <w:r>
        <w:rPr>
          <w:noProof/>
        </w:rPr>
        <w:fldChar w:fldCharType="end"/>
      </w:r>
      <w:r>
        <w:t>: Total RTs needed in KSA</w:t>
      </w:r>
    </w:p>
    <w:tbl>
      <w:tblPr>
        <w:tblStyle w:val="TableGrid"/>
        <w:tblW w:w="9795" w:type="dxa"/>
        <w:tblInd w:w="0" w:type="dxa"/>
        <w:tblLook w:val="04A0" w:firstRow="1" w:lastRow="0" w:firstColumn="1" w:lastColumn="0" w:noHBand="0" w:noVBand="1"/>
      </w:tblPr>
      <w:tblGrid>
        <w:gridCol w:w="1723"/>
        <w:gridCol w:w="1311"/>
        <w:gridCol w:w="1103"/>
        <w:gridCol w:w="810"/>
        <w:gridCol w:w="961"/>
        <w:gridCol w:w="1064"/>
        <w:gridCol w:w="910"/>
        <w:gridCol w:w="810"/>
        <w:gridCol w:w="1103"/>
      </w:tblGrid>
      <w:tr w:rsidR="005842E4" w14:paraId="020E417A" w14:textId="77777777" w:rsidTr="00BF2F0C">
        <w:trPr>
          <w:trHeight w:val="796"/>
        </w:trPr>
        <w:tc>
          <w:tcPr>
            <w:tcW w:w="1723" w:type="dxa"/>
            <w:tcBorders>
              <w:top w:val="single" w:sz="4" w:space="0" w:color="auto"/>
              <w:left w:val="single" w:sz="4" w:space="0" w:color="auto"/>
              <w:bottom w:val="single" w:sz="4" w:space="0" w:color="auto"/>
              <w:right w:val="single" w:sz="4" w:space="0" w:color="auto"/>
            </w:tcBorders>
            <w:hideMark/>
          </w:tcPr>
          <w:p w14:paraId="7A7C7BBE"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KSA Medical Administrative Regions</w:t>
            </w:r>
          </w:p>
        </w:tc>
        <w:tc>
          <w:tcPr>
            <w:tcW w:w="1311" w:type="dxa"/>
            <w:tcBorders>
              <w:top w:val="single" w:sz="4" w:space="0" w:color="auto"/>
              <w:left w:val="single" w:sz="4" w:space="0" w:color="auto"/>
              <w:bottom w:val="single" w:sz="4" w:space="0" w:color="auto"/>
              <w:right w:val="single" w:sz="4" w:space="0" w:color="auto"/>
            </w:tcBorders>
            <w:hideMark/>
          </w:tcPr>
          <w:p w14:paraId="14A42023" w14:textId="77777777" w:rsidR="005842E4" w:rsidRDefault="005842E4" w:rsidP="006E34BB">
            <w:pPr>
              <w:spacing w:after="0" w:line="360" w:lineRule="auto"/>
              <w:jc w:val="both"/>
              <w:rPr>
                <w:rFonts w:ascii="Times New Roman" w:eastAsiaTheme="minorEastAsia" w:hAnsi="Times New Roman" w:cs="Times New Roman"/>
                <w:b/>
                <w:bCs/>
                <w:sz w:val="18"/>
                <w:szCs w:val="18"/>
              </w:rPr>
            </w:pPr>
            <w:r>
              <w:rPr>
                <w:rFonts w:ascii="Times New Roman" w:eastAsiaTheme="minorEastAsia" w:hAnsi="Times New Roman" w:cs="Times New Roman"/>
                <w:b/>
                <w:bCs/>
                <w:sz w:val="18"/>
                <w:szCs w:val="18"/>
              </w:rPr>
              <w:t>Population</w:t>
            </w:r>
          </w:p>
        </w:tc>
        <w:tc>
          <w:tcPr>
            <w:tcW w:w="1103" w:type="dxa"/>
            <w:tcBorders>
              <w:top w:val="single" w:sz="4" w:space="0" w:color="auto"/>
              <w:left w:val="single" w:sz="4" w:space="0" w:color="auto"/>
              <w:bottom w:val="single" w:sz="4" w:space="0" w:color="auto"/>
              <w:right w:val="single" w:sz="4" w:space="0" w:color="auto"/>
            </w:tcBorders>
            <w:noWrap/>
            <w:hideMark/>
          </w:tcPr>
          <w:p w14:paraId="777198C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Hospitals</w:t>
            </w:r>
          </w:p>
        </w:tc>
        <w:tc>
          <w:tcPr>
            <w:tcW w:w="810" w:type="dxa"/>
            <w:tcBorders>
              <w:top w:val="single" w:sz="4" w:space="0" w:color="auto"/>
              <w:left w:val="single" w:sz="4" w:space="0" w:color="auto"/>
              <w:bottom w:val="single" w:sz="4" w:space="0" w:color="auto"/>
              <w:right w:val="single" w:sz="4" w:space="0" w:color="auto"/>
            </w:tcBorders>
            <w:noWrap/>
            <w:hideMark/>
          </w:tcPr>
          <w:p w14:paraId="5BFF281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Beds</w:t>
            </w:r>
          </w:p>
        </w:tc>
        <w:tc>
          <w:tcPr>
            <w:tcW w:w="961" w:type="dxa"/>
            <w:tcBorders>
              <w:top w:val="single" w:sz="4" w:space="0" w:color="auto"/>
              <w:left w:val="single" w:sz="4" w:space="0" w:color="auto"/>
              <w:bottom w:val="single" w:sz="4" w:space="0" w:color="auto"/>
              <w:right w:val="single" w:sz="4" w:space="0" w:color="auto"/>
            </w:tcBorders>
            <w:noWrap/>
            <w:hideMark/>
          </w:tcPr>
          <w:p w14:paraId="66B1E8D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General Floor Beds</w:t>
            </w:r>
          </w:p>
        </w:tc>
        <w:tc>
          <w:tcPr>
            <w:tcW w:w="1064" w:type="dxa"/>
            <w:tcBorders>
              <w:top w:val="single" w:sz="4" w:space="0" w:color="auto"/>
              <w:left w:val="single" w:sz="4" w:space="0" w:color="auto"/>
              <w:bottom w:val="single" w:sz="4" w:space="0" w:color="auto"/>
              <w:right w:val="single" w:sz="4" w:space="0" w:color="auto"/>
            </w:tcBorders>
            <w:noWrap/>
            <w:hideMark/>
          </w:tcPr>
          <w:p w14:paraId="523FB02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intensive Care Beds</w:t>
            </w:r>
          </w:p>
        </w:tc>
        <w:tc>
          <w:tcPr>
            <w:tcW w:w="910" w:type="dxa"/>
            <w:tcBorders>
              <w:top w:val="single" w:sz="4" w:space="0" w:color="auto"/>
              <w:left w:val="single" w:sz="4" w:space="0" w:color="auto"/>
              <w:bottom w:val="single" w:sz="4" w:space="0" w:color="auto"/>
              <w:right w:val="single" w:sz="4" w:space="0" w:color="auto"/>
            </w:tcBorders>
            <w:noWrap/>
            <w:hideMark/>
          </w:tcPr>
          <w:p w14:paraId="70553BF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RTS needed in the general Floor</w:t>
            </w:r>
          </w:p>
        </w:tc>
        <w:tc>
          <w:tcPr>
            <w:tcW w:w="810" w:type="dxa"/>
            <w:tcBorders>
              <w:top w:val="single" w:sz="4" w:space="0" w:color="auto"/>
              <w:left w:val="single" w:sz="4" w:space="0" w:color="auto"/>
              <w:bottom w:val="single" w:sz="4" w:space="0" w:color="auto"/>
              <w:right w:val="single" w:sz="4" w:space="0" w:color="auto"/>
            </w:tcBorders>
            <w:noWrap/>
            <w:hideMark/>
          </w:tcPr>
          <w:p w14:paraId="10E9E88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RTs in ICU</w:t>
            </w:r>
          </w:p>
        </w:tc>
        <w:tc>
          <w:tcPr>
            <w:tcW w:w="1103" w:type="dxa"/>
            <w:tcBorders>
              <w:top w:val="single" w:sz="4" w:space="0" w:color="auto"/>
              <w:left w:val="single" w:sz="4" w:space="0" w:color="auto"/>
              <w:bottom w:val="single" w:sz="4" w:space="0" w:color="auto"/>
              <w:right w:val="single" w:sz="4" w:space="0" w:color="auto"/>
            </w:tcBorders>
            <w:noWrap/>
            <w:hideMark/>
          </w:tcPr>
          <w:p w14:paraId="788ADB5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Total Number of RTs Needed in All the Hospitals</w:t>
            </w:r>
          </w:p>
        </w:tc>
      </w:tr>
      <w:tr w:rsidR="005842E4" w14:paraId="07AA5983" w14:textId="77777777" w:rsidTr="00BF2F0C">
        <w:trPr>
          <w:trHeight w:val="330"/>
        </w:trPr>
        <w:tc>
          <w:tcPr>
            <w:tcW w:w="1723" w:type="dxa"/>
            <w:tcBorders>
              <w:top w:val="single" w:sz="4" w:space="0" w:color="auto"/>
              <w:left w:val="single" w:sz="4" w:space="0" w:color="auto"/>
              <w:bottom w:val="single" w:sz="4" w:space="0" w:color="auto"/>
              <w:right w:val="single" w:sz="4" w:space="0" w:color="auto"/>
            </w:tcBorders>
            <w:noWrap/>
            <w:hideMark/>
          </w:tcPr>
          <w:p w14:paraId="77F28BE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Riyadh</w:t>
            </w:r>
          </w:p>
        </w:tc>
        <w:tc>
          <w:tcPr>
            <w:tcW w:w="1311" w:type="dxa"/>
            <w:tcBorders>
              <w:top w:val="single" w:sz="4" w:space="0" w:color="auto"/>
              <w:left w:val="single" w:sz="4" w:space="0" w:color="auto"/>
              <w:bottom w:val="single" w:sz="4" w:space="0" w:color="auto"/>
              <w:right w:val="single" w:sz="4" w:space="0" w:color="auto"/>
            </w:tcBorders>
            <w:noWrap/>
            <w:hideMark/>
          </w:tcPr>
          <w:p w14:paraId="2EEE320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8,446,866</w:t>
            </w:r>
          </w:p>
        </w:tc>
        <w:tc>
          <w:tcPr>
            <w:tcW w:w="1103" w:type="dxa"/>
            <w:tcBorders>
              <w:top w:val="single" w:sz="4" w:space="0" w:color="auto"/>
              <w:left w:val="single" w:sz="4" w:space="0" w:color="auto"/>
              <w:bottom w:val="single" w:sz="4" w:space="0" w:color="auto"/>
              <w:right w:val="single" w:sz="4" w:space="0" w:color="auto"/>
            </w:tcBorders>
            <w:noWrap/>
            <w:hideMark/>
          </w:tcPr>
          <w:p w14:paraId="030212E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106</w:t>
            </w:r>
          </w:p>
        </w:tc>
        <w:tc>
          <w:tcPr>
            <w:tcW w:w="810" w:type="dxa"/>
            <w:tcBorders>
              <w:top w:val="single" w:sz="4" w:space="0" w:color="auto"/>
              <w:left w:val="single" w:sz="4" w:space="0" w:color="auto"/>
              <w:bottom w:val="single" w:sz="4" w:space="0" w:color="auto"/>
              <w:right w:val="single" w:sz="4" w:space="0" w:color="auto"/>
            </w:tcBorders>
            <w:noWrap/>
            <w:hideMark/>
          </w:tcPr>
          <w:p w14:paraId="019D0CE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19156</w:t>
            </w:r>
          </w:p>
        </w:tc>
        <w:tc>
          <w:tcPr>
            <w:tcW w:w="961" w:type="dxa"/>
            <w:tcBorders>
              <w:top w:val="single" w:sz="4" w:space="0" w:color="auto"/>
              <w:left w:val="single" w:sz="4" w:space="0" w:color="auto"/>
              <w:bottom w:val="single" w:sz="4" w:space="0" w:color="auto"/>
              <w:right w:val="single" w:sz="4" w:space="0" w:color="auto"/>
            </w:tcBorders>
            <w:noWrap/>
            <w:hideMark/>
          </w:tcPr>
          <w:p w14:paraId="0103D41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17124</w:t>
            </w:r>
          </w:p>
        </w:tc>
        <w:tc>
          <w:tcPr>
            <w:tcW w:w="1064" w:type="dxa"/>
            <w:tcBorders>
              <w:top w:val="single" w:sz="4" w:space="0" w:color="auto"/>
              <w:left w:val="single" w:sz="4" w:space="0" w:color="auto"/>
              <w:bottom w:val="single" w:sz="4" w:space="0" w:color="auto"/>
              <w:right w:val="single" w:sz="4" w:space="0" w:color="auto"/>
            </w:tcBorders>
            <w:noWrap/>
            <w:hideMark/>
          </w:tcPr>
          <w:p w14:paraId="0AECDB6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2032</w:t>
            </w:r>
          </w:p>
        </w:tc>
        <w:tc>
          <w:tcPr>
            <w:tcW w:w="910" w:type="dxa"/>
            <w:tcBorders>
              <w:top w:val="single" w:sz="4" w:space="0" w:color="auto"/>
              <w:left w:val="single" w:sz="4" w:space="0" w:color="auto"/>
              <w:bottom w:val="single" w:sz="4" w:space="0" w:color="auto"/>
              <w:right w:val="single" w:sz="4" w:space="0" w:color="auto"/>
            </w:tcBorders>
            <w:noWrap/>
            <w:hideMark/>
          </w:tcPr>
          <w:p w14:paraId="3BA9F60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3686</w:t>
            </w:r>
          </w:p>
        </w:tc>
        <w:tc>
          <w:tcPr>
            <w:tcW w:w="810" w:type="dxa"/>
            <w:tcBorders>
              <w:top w:val="single" w:sz="4" w:space="0" w:color="auto"/>
              <w:left w:val="single" w:sz="4" w:space="0" w:color="auto"/>
              <w:bottom w:val="single" w:sz="4" w:space="0" w:color="auto"/>
              <w:right w:val="single" w:sz="4" w:space="0" w:color="auto"/>
            </w:tcBorders>
            <w:noWrap/>
            <w:hideMark/>
          </w:tcPr>
          <w:p w14:paraId="0251823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1750</w:t>
            </w:r>
          </w:p>
        </w:tc>
        <w:tc>
          <w:tcPr>
            <w:tcW w:w="1103" w:type="dxa"/>
            <w:tcBorders>
              <w:top w:val="single" w:sz="4" w:space="0" w:color="auto"/>
              <w:left w:val="single" w:sz="4" w:space="0" w:color="auto"/>
              <w:bottom w:val="single" w:sz="4" w:space="0" w:color="auto"/>
              <w:right w:val="single" w:sz="4" w:space="0" w:color="auto"/>
            </w:tcBorders>
            <w:noWrap/>
            <w:hideMark/>
          </w:tcPr>
          <w:p w14:paraId="0BFD18B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5436</w:t>
            </w:r>
          </w:p>
        </w:tc>
      </w:tr>
      <w:tr w:rsidR="005842E4" w14:paraId="5820031B" w14:textId="77777777" w:rsidTr="00BF2F0C">
        <w:trPr>
          <w:trHeight w:val="315"/>
        </w:trPr>
        <w:tc>
          <w:tcPr>
            <w:tcW w:w="1723" w:type="dxa"/>
            <w:tcBorders>
              <w:top w:val="single" w:sz="4" w:space="0" w:color="auto"/>
              <w:left w:val="single" w:sz="4" w:space="0" w:color="auto"/>
              <w:bottom w:val="single" w:sz="4" w:space="0" w:color="auto"/>
              <w:right w:val="single" w:sz="4" w:space="0" w:color="auto"/>
            </w:tcBorders>
            <w:noWrap/>
            <w:hideMark/>
          </w:tcPr>
          <w:p w14:paraId="2D38BB1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 xml:space="preserve">Jeddah </w:t>
            </w:r>
          </w:p>
        </w:tc>
        <w:tc>
          <w:tcPr>
            <w:tcW w:w="1311" w:type="dxa"/>
            <w:tcBorders>
              <w:top w:val="single" w:sz="4" w:space="0" w:color="auto"/>
              <w:left w:val="single" w:sz="4" w:space="0" w:color="auto"/>
              <w:bottom w:val="single" w:sz="4" w:space="0" w:color="auto"/>
              <w:right w:val="single" w:sz="4" w:space="0" w:color="auto"/>
            </w:tcBorders>
            <w:noWrap/>
            <w:hideMark/>
          </w:tcPr>
          <w:p w14:paraId="746D468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4,767,662</w:t>
            </w:r>
          </w:p>
        </w:tc>
        <w:tc>
          <w:tcPr>
            <w:tcW w:w="1103" w:type="dxa"/>
            <w:tcBorders>
              <w:top w:val="single" w:sz="4" w:space="0" w:color="auto"/>
              <w:left w:val="single" w:sz="4" w:space="0" w:color="auto"/>
              <w:bottom w:val="single" w:sz="4" w:space="0" w:color="auto"/>
              <w:right w:val="single" w:sz="4" w:space="0" w:color="auto"/>
            </w:tcBorders>
            <w:noWrap/>
            <w:hideMark/>
          </w:tcPr>
          <w:p w14:paraId="1F36B92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57</w:t>
            </w:r>
          </w:p>
        </w:tc>
        <w:tc>
          <w:tcPr>
            <w:tcW w:w="810" w:type="dxa"/>
            <w:tcBorders>
              <w:top w:val="single" w:sz="4" w:space="0" w:color="auto"/>
              <w:left w:val="single" w:sz="4" w:space="0" w:color="auto"/>
              <w:bottom w:val="single" w:sz="4" w:space="0" w:color="auto"/>
              <w:right w:val="single" w:sz="4" w:space="0" w:color="auto"/>
            </w:tcBorders>
            <w:noWrap/>
            <w:hideMark/>
          </w:tcPr>
          <w:p w14:paraId="116AC5F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8675</w:t>
            </w:r>
          </w:p>
        </w:tc>
        <w:tc>
          <w:tcPr>
            <w:tcW w:w="961" w:type="dxa"/>
            <w:tcBorders>
              <w:top w:val="single" w:sz="4" w:space="0" w:color="auto"/>
              <w:left w:val="single" w:sz="4" w:space="0" w:color="auto"/>
              <w:bottom w:val="single" w:sz="4" w:space="0" w:color="auto"/>
              <w:right w:val="single" w:sz="4" w:space="0" w:color="auto"/>
            </w:tcBorders>
            <w:noWrap/>
            <w:hideMark/>
          </w:tcPr>
          <w:p w14:paraId="483A888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7589</w:t>
            </w:r>
          </w:p>
        </w:tc>
        <w:tc>
          <w:tcPr>
            <w:tcW w:w="1064" w:type="dxa"/>
            <w:tcBorders>
              <w:top w:val="single" w:sz="4" w:space="0" w:color="auto"/>
              <w:left w:val="single" w:sz="4" w:space="0" w:color="auto"/>
              <w:bottom w:val="single" w:sz="4" w:space="0" w:color="auto"/>
              <w:right w:val="single" w:sz="4" w:space="0" w:color="auto"/>
            </w:tcBorders>
            <w:noWrap/>
            <w:hideMark/>
          </w:tcPr>
          <w:p w14:paraId="0894621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1086</w:t>
            </w:r>
          </w:p>
        </w:tc>
        <w:tc>
          <w:tcPr>
            <w:tcW w:w="910" w:type="dxa"/>
            <w:tcBorders>
              <w:top w:val="single" w:sz="4" w:space="0" w:color="auto"/>
              <w:left w:val="single" w:sz="4" w:space="0" w:color="auto"/>
              <w:bottom w:val="single" w:sz="4" w:space="0" w:color="auto"/>
              <w:right w:val="single" w:sz="4" w:space="0" w:color="auto"/>
            </w:tcBorders>
            <w:noWrap/>
            <w:hideMark/>
          </w:tcPr>
          <w:p w14:paraId="3F82AA1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1633</w:t>
            </w:r>
          </w:p>
        </w:tc>
        <w:tc>
          <w:tcPr>
            <w:tcW w:w="810" w:type="dxa"/>
            <w:tcBorders>
              <w:top w:val="single" w:sz="4" w:space="0" w:color="auto"/>
              <w:left w:val="single" w:sz="4" w:space="0" w:color="auto"/>
              <w:bottom w:val="single" w:sz="4" w:space="0" w:color="auto"/>
              <w:right w:val="single" w:sz="4" w:space="0" w:color="auto"/>
            </w:tcBorders>
            <w:noWrap/>
            <w:hideMark/>
          </w:tcPr>
          <w:p w14:paraId="12C35F7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935</w:t>
            </w:r>
          </w:p>
        </w:tc>
        <w:tc>
          <w:tcPr>
            <w:tcW w:w="1103" w:type="dxa"/>
            <w:tcBorders>
              <w:top w:val="single" w:sz="4" w:space="0" w:color="auto"/>
              <w:left w:val="single" w:sz="4" w:space="0" w:color="auto"/>
              <w:bottom w:val="single" w:sz="4" w:space="0" w:color="auto"/>
              <w:right w:val="single" w:sz="4" w:space="0" w:color="auto"/>
            </w:tcBorders>
            <w:noWrap/>
            <w:hideMark/>
          </w:tcPr>
          <w:p w14:paraId="6C32136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2568</w:t>
            </w:r>
          </w:p>
        </w:tc>
      </w:tr>
      <w:tr w:rsidR="005842E4" w14:paraId="1A2FDF26" w14:textId="77777777" w:rsidTr="00BF2F0C">
        <w:trPr>
          <w:trHeight w:val="315"/>
        </w:trPr>
        <w:tc>
          <w:tcPr>
            <w:tcW w:w="1723" w:type="dxa"/>
            <w:tcBorders>
              <w:top w:val="single" w:sz="4" w:space="0" w:color="auto"/>
              <w:left w:val="single" w:sz="4" w:space="0" w:color="auto"/>
              <w:bottom w:val="single" w:sz="4" w:space="0" w:color="auto"/>
              <w:right w:val="single" w:sz="4" w:space="0" w:color="auto"/>
            </w:tcBorders>
            <w:noWrap/>
            <w:hideMark/>
          </w:tcPr>
          <w:p w14:paraId="5F23F9CC"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Ta'if</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023302E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1,331,913</w:t>
            </w:r>
          </w:p>
        </w:tc>
        <w:tc>
          <w:tcPr>
            <w:tcW w:w="1103" w:type="dxa"/>
            <w:tcBorders>
              <w:top w:val="single" w:sz="4" w:space="0" w:color="auto"/>
              <w:left w:val="single" w:sz="4" w:space="0" w:color="auto"/>
              <w:bottom w:val="single" w:sz="4" w:space="0" w:color="auto"/>
              <w:right w:val="single" w:sz="4" w:space="0" w:color="auto"/>
            </w:tcBorders>
            <w:noWrap/>
            <w:hideMark/>
          </w:tcPr>
          <w:p w14:paraId="7A02C15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w:t>
            </w:r>
          </w:p>
        </w:tc>
        <w:tc>
          <w:tcPr>
            <w:tcW w:w="810" w:type="dxa"/>
            <w:tcBorders>
              <w:top w:val="single" w:sz="4" w:space="0" w:color="auto"/>
              <w:left w:val="single" w:sz="4" w:space="0" w:color="auto"/>
              <w:bottom w:val="single" w:sz="4" w:space="0" w:color="auto"/>
              <w:right w:val="single" w:sz="4" w:space="0" w:color="auto"/>
            </w:tcBorders>
            <w:noWrap/>
            <w:hideMark/>
          </w:tcPr>
          <w:p w14:paraId="56C0F32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3988</w:t>
            </w:r>
          </w:p>
        </w:tc>
        <w:tc>
          <w:tcPr>
            <w:tcW w:w="961" w:type="dxa"/>
            <w:tcBorders>
              <w:top w:val="single" w:sz="4" w:space="0" w:color="auto"/>
              <w:left w:val="single" w:sz="4" w:space="0" w:color="auto"/>
              <w:bottom w:val="single" w:sz="4" w:space="0" w:color="auto"/>
              <w:right w:val="single" w:sz="4" w:space="0" w:color="auto"/>
            </w:tcBorders>
            <w:noWrap/>
            <w:hideMark/>
          </w:tcPr>
          <w:p w14:paraId="433C7B4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3538</w:t>
            </w:r>
          </w:p>
        </w:tc>
        <w:tc>
          <w:tcPr>
            <w:tcW w:w="1064" w:type="dxa"/>
            <w:tcBorders>
              <w:top w:val="single" w:sz="4" w:space="0" w:color="auto"/>
              <w:left w:val="single" w:sz="4" w:space="0" w:color="auto"/>
              <w:bottom w:val="single" w:sz="4" w:space="0" w:color="auto"/>
              <w:right w:val="single" w:sz="4" w:space="0" w:color="auto"/>
            </w:tcBorders>
            <w:noWrap/>
            <w:hideMark/>
          </w:tcPr>
          <w:p w14:paraId="02522C6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450</w:t>
            </w:r>
          </w:p>
        </w:tc>
        <w:tc>
          <w:tcPr>
            <w:tcW w:w="910" w:type="dxa"/>
            <w:tcBorders>
              <w:top w:val="single" w:sz="4" w:space="0" w:color="auto"/>
              <w:left w:val="single" w:sz="4" w:space="0" w:color="auto"/>
              <w:bottom w:val="single" w:sz="4" w:space="0" w:color="auto"/>
              <w:right w:val="single" w:sz="4" w:space="0" w:color="auto"/>
            </w:tcBorders>
            <w:noWrap/>
            <w:hideMark/>
          </w:tcPr>
          <w:p w14:paraId="257E74E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761</w:t>
            </w:r>
          </w:p>
        </w:tc>
        <w:tc>
          <w:tcPr>
            <w:tcW w:w="810" w:type="dxa"/>
            <w:tcBorders>
              <w:top w:val="single" w:sz="4" w:space="0" w:color="auto"/>
              <w:left w:val="single" w:sz="4" w:space="0" w:color="auto"/>
              <w:bottom w:val="single" w:sz="4" w:space="0" w:color="auto"/>
              <w:right w:val="single" w:sz="4" w:space="0" w:color="auto"/>
            </w:tcBorders>
            <w:noWrap/>
            <w:hideMark/>
          </w:tcPr>
          <w:p w14:paraId="7F57F46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387</w:t>
            </w:r>
          </w:p>
        </w:tc>
        <w:tc>
          <w:tcPr>
            <w:tcW w:w="1103" w:type="dxa"/>
            <w:tcBorders>
              <w:top w:val="single" w:sz="4" w:space="0" w:color="auto"/>
              <w:left w:val="single" w:sz="4" w:space="0" w:color="auto"/>
              <w:bottom w:val="single" w:sz="4" w:space="0" w:color="auto"/>
              <w:right w:val="single" w:sz="4" w:space="0" w:color="auto"/>
            </w:tcBorders>
            <w:noWrap/>
            <w:hideMark/>
          </w:tcPr>
          <w:p w14:paraId="6C47D12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1148</w:t>
            </w:r>
          </w:p>
        </w:tc>
      </w:tr>
      <w:tr w:rsidR="005842E4" w14:paraId="57EF726A"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399072C5"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Al'Ahsa</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758FD1B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1,252,914</w:t>
            </w:r>
          </w:p>
        </w:tc>
        <w:tc>
          <w:tcPr>
            <w:tcW w:w="1103" w:type="dxa"/>
            <w:tcBorders>
              <w:top w:val="single" w:sz="4" w:space="0" w:color="auto"/>
              <w:left w:val="single" w:sz="4" w:space="0" w:color="auto"/>
              <w:bottom w:val="single" w:sz="4" w:space="0" w:color="auto"/>
              <w:right w:val="single" w:sz="4" w:space="0" w:color="auto"/>
            </w:tcBorders>
            <w:noWrap/>
            <w:hideMark/>
          </w:tcPr>
          <w:p w14:paraId="296D7E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w:t>
            </w:r>
          </w:p>
        </w:tc>
        <w:tc>
          <w:tcPr>
            <w:tcW w:w="810" w:type="dxa"/>
            <w:tcBorders>
              <w:top w:val="single" w:sz="4" w:space="0" w:color="auto"/>
              <w:left w:val="single" w:sz="4" w:space="0" w:color="auto"/>
              <w:bottom w:val="single" w:sz="4" w:space="0" w:color="auto"/>
              <w:right w:val="single" w:sz="4" w:space="0" w:color="auto"/>
            </w:tcBorders>
            <w:noWrap/>
            <w:hideMark/>
          </w:tcPr>
          <w:p w14:paraId="688B617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2953</w:t>
            </w:r>
          </w:p>
        </w:tc>
        <w:tc>
          <w:tcPr>
            <w:tcW w:w="961" w:type="dxa"/>
            <w:tcBorders>
              <w:top w:val="single" w:sz="4" w:space="0" w:color="auto"/>
              <w:left w:val="single" w:sz="4" w:space="0" w:color="auto"/>
              <w:bottom w:val="single" w:sz="4" w:space="0" w:color="auto"/>
              <w:right w:val="single" w:sz="4" w:space="0" w:color="auto"/>
            </w:tcBorders>
            <w:noWrap/>
            <w:hideMark/>
          </w:tcPr>
          <w:p w14:paraId="4627110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2695</w:t>
            </w:r>
          </w:p>
        </w:tc>
        <w:tc>
          <w:tcPr>
            <w:tcW w:w="1064" w:type="dxa"/>
            <w:tcBorders>
              <w:top w:val="single" w:sz="4" w:space="0" w:color="auto"/>
              <w:left w:val="single" w:sz="4" w:space="0" w:color="auto"/>
              <w:bottom w:val="single" w:sz="4" w:space="0" w:color="auto"/>
              <w:right w:val="single" w:sz="4" w:space="0" w:color="auto"/>
            </w:tcBorders>
            <w:noWrap/>
            <w:hideMark/>
          </w:tcPr>
          <w:p w14:paraId="63C4607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258</w:t>
            </w:r>
          </w:p>
        </w:tc>
        <w:tc>
          <w:tcPr>
            <w:tcW w:w="910" w:type="dxa"/>
            <w:tcBorders>
              <w:top w:val="single" w:sz="4" w:space="0" w:color="auto"/>
              <w:left w:val="single" w:sz="4" w:space="0" w:color="auto"/>
              <w:bottom w:val="single" w:sz="4" w:space="0" w:color="auto"/>
              <w:right w:val="single" w:sz="4" w:space="0" w:color="auto"/>
            </w:tcBorders>
            <w:noWrap/>
            <w:hideMark/>
          </w:tcPr>
          <w:p w14:paraId="7FB51D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580</w:t>
            </w:r>
          </w:p>
        </w:tc>
        <w:tc>
          <w:tcPr>
            <w:tcW w:w="810" w:type="dxa"/>
            <w:tcBorders>
              <w:top w:val="single" w:sz="4" w:space="0" w:color="auto"/>
              <w:left w:val="single" w:sz="4" w:space="0" w:color="auto"/>
              <w:bottom w:val="single" w:sz="4" w:space="0" w:color="auto"/>
              <w:right w:val="single" w:sz="4" w:space="0" w:color="auto"/>
            </w:tcBorders>
            <w:noWrap/>
            <w:hideMark/>
          </w:tcPr>
          <w:p w14:paraId="622A5BE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222</w:t>
            </w:r>
          </w:p>
        </w:tc>
        <w:tc>
          <w:tcPr>
            <w:tcW w:w="1103" w:type="dxa"/>
            <w:tcBorders>
              <w:top w:val="single" w:sz="4" w:space="0" w:color="auto"/>
              <w:left w:val="single" w:sz="4" w:space="0" w:color="auto"/>
              <w:bottom w:val="single" w:sz="4" w:space="0" w:color="auto"/>
              <w:right w:val="single" w:sz="4" w:space="0" w:color="auto"/>
            </w:tcBorders>
            <w:noWrap/>
            <w:hideMark/>
          </w:tcPr>
          <w:p w14:paraId="0E15086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802</w:t>
            </w:r>
          </w:p>
        </w:tc>
      </w:tr>
      <w:tr w:rsidR="005842E4" w14:paraId="563A9A43"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18052C0B"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Hafr</w:t>
            </w:r>
            <w:proofErr w:type="spellEnd"/>
            <w:r>
              <w:rPr>
                <w:rFonts w:ascii="Times New Roman" w:eastAsiaTheme="minorEastAsia" w:hAnsi="Times New Roman" w:cs="Times New Roman"/>
                <w:sz w:val="18"/>
                <w:szCs w:val="18"/>
              </w:rPr>
              <w:t xml:space="preserve"> </w:t>
            </w:r>
            <w:proofErr w:type="spellStart"/>
            <w:r>
              <w:rPr>
                <w:rFonts w:ascii="Times New Roman" w:eastAsiaTheme="minorEastAsia" w:hAnsi="Times New Roman" w:cs="Times New Roman"/>
                <w:sz w:val="18"/>
                <w:szCs w:val="18"/>
              </w:rPr>
              <w:t>Al'Baten</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19776C2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457,650</w:t>
            </w:r>
          </w:p>
        </w:tc>
        <w:tc>
          <w:tcPr>
            <w:tcW w:w="1103" w:type="dxa"/>
            <w:tcBorders>
              <w:top w:val="single" w:sz="4" w:space="0" w:color="auto"/>
              <w:left w:val="single" w:sz="4" w:space="0" w:color="auto"/>
              <w:bottom w:val="single" w:sz="4" w:space="0" w:color="auto"/>
              <w:right w:val="single" w:sz="4" w:space="0" w:color="auto"/>
            </w:tcBorders>
            <w:noWrap/>
            <w:hideMark/>
          </w:tcPr>
          <w:p w14:paraId="157DCD7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w:t>
            </w:r>
          </w:p>
        </w:tc>
        <w:tc>
          <w:tcPr>
            <w:tcW w:w="810" w:type="dxa"/>
            <w:tcBorders>
              <w:top w:val="single" w:sz="4" w:space="0" w:color="auto"/>
              <w:left w:val="single" w:sz="4" w:space="0" w:color="auto"/>
              <w:bottom w:val="single" w:sz="4" w:space="0" w:color="auto"/>
              <w:right w:val="single" w:sz="4" w:space="0" w:color="auto"/>
            </w:tcBorders>
            <w:noWrap/>
            <w:hideMark/>
          </w:tcPr>
          <w:p w14:paraId="163F52C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1439</w:t>
            </w:r>
          </w:p>
        </w:tc>
        <w:tc>
          <w:tcPr>
            <w:tcW w:w="961" w:type="dxa"/>
            <w:tcBorders>
              <w:top w:val="single" w:sz="4" w:space="0" w:color="auto"/>
              <w:left w:val="single" w:sz="4" w:space="0" w:color="auto"/>
              <w:bottom w:val="single" w:sz="4" w:space="0" w:color="auto"/>
              <w:right w:val="single" w:sz="4" w:space="0" w:color="auto"/>
            </w:tcBorders>
            <w:noWrap/>
            <w:hideMark/>
          </w:tcPr>
          <w:p w14:paraId="16565C6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1304</w:t>
            </w:r>
          </w:p>
        </w:tc>
        <w:tc>
          <w:tcPr>
            <w:tcW w:w="1064" w:type="dxa"/>
            <w:tcBorders>
              <w:top w:val="single" w:sz="4" w:space="0" w:color="auto"/>
              <w:left w:val="single" w:sz="4" w:space="0" w:color="auto"/>
              <w:bottom w:val="single" w:sz="4" w:space="0" w:color="auto"/>
              <w:right w:val="single" w:sz="4" w:space="0" w:color="auto"/>
            </w:tcBorders>
            <w:noWrap/>
            <w:hideMark/>
          </w:tcPr>
          <w:p w14:paraId="0A23AE4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135</w:t>
            </w:r>
          </w:p>
        </w:tc>
        <w:tc>
          <w:tcPr>
            <w:tcW w:w="910" w:type="dxa"/>
            <w:tcBorders>
              <w:top w:val="single" w:sz="4" w:space="0" w:color="auto"/>
              <w:left w:val="single" w:sz="4" w:space="0" w:color="auto"/>
              <w:bottom w:val="single" w:sz="4" w:space="0" w:color="auto"/>
              <w:right w:val="single" w:sz="4" w:space="0" w:color="auto"/>
            </w:tcBorders>
            <w:noWrap/>
            <w:hideMark/>
          </w:tcPr>
          <w:p w14:paraId="15E222A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281</w:t>
            </w:r>
          </w:p>
        </w:tc>
        <w:tc>
          <w:tcPr>
            <w:tcW w:w="810" w:type="dxa"/>
            <w:tcBorders>
              <w:top w:val="single" w:sz="4" w:space="0" w:color="auto"/>
              <w:left w:val="single" w:sz="4" w:space="0" w:color="auto"/>
              <w:bottom w:val="single" w:sz="4" w:space="0" w:color="auto"/>
              <w:right w:val="single" w:sz="4" w:space="0" w:color="auto"/>
            </w:tcBorders>
            <w:noWrap/>
            <w:hideMark/>
          </w:tcPr>
          <w:p w14:paraId="1F591FD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116</w:t>
            </w:r>
          </w:p>
        </w:tc>
        <w:tc>
          <w:tcPr>
            <w:tcW w:w="1103" w:type="dxa"/>
            <w:tcBorders>
              <w:top w:val="single" w:sz="4" w:space="0" w:color="auto"/>
              <w:left w:val="single" w:sz="4" w:space="0" w:color="auto"/>
              <w:bottom w:val="single" w:sz="4" w:space="0" w:color="auto"/>
              <w:right w:val="single" w:sz="4" w:space="0" w:color="auto"/>
            </w:tcBorders>
            <w:noWrap/>
            <w:hideMark/>
          </w:tcPr>
          <w:p w14:paraId="3928330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397</w:t>
            </w:r>
          </w:p>
        </w:tc>
      </w:tr>
      <w:tr w:rsidR="005842E4" w14:paraId="580CBA79"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213CECCF"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Bishah</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39558D5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398,256</w:t>
            </w:r>
          </w:p>
        </w:tc>
        <w:tc>
          <w:tcPr>
            <w:tcW w:w="1103" w:type="dxa"/>
            <w:tcBorders>
              <w:top w:val="single" w:sz="4" w:space="0" w:color="auto"/>
              <w:left w:val="single" w:sz="4" w:space="0" w:color="auto"/>
              <w:bottom w:val="single" w:sz="4" w:space="0" w:color="auto"/>
              <w:right w:val="single" w:sz="4" w:space="0" w:color="auto"/>
            </w:tcBorders>
            <w:noWrap/>
            <w:hideMark/>
          </w:tcPr>
          <w:p w14:paraId="221B97F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w:t>
            </w:r>
          </w:p>
        </w:tc>
        <w:tc>
          <w:tcPr>
            <w:tcW w:w="810" w:type="dxa"/>
            <w:tcBorders>
              <w:top w:val="single" w:sz="4" w:space="0" w:color="auto"/>
              <w:left w:val="single" w:sz="4" w:space="0" w:color="auto"/>
              <w:bottom w:val="single" w:sz="4" w:space="0" w:color="auto"/>
              <w:right w:val="single" w:sz="4" w:space="0" w:color="auto"/>
            </w:tcBorders>
            <w:noWrap/>
            <w:hideMark/>
          </w:tcPr>
          <w:p w14:paraId="17A1F7B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770</w:t>
            </w:r>
          </w:p>
        </w:tc>
        <w:tc>
          <w:tcPr>
            <w:tcW w:w="961" w:type="dxa"/>
            <w:tcBorders>
              <w:top w:val="single" w:sz="4" w:space="0" w:color="auto"/>
              <w:left w:val="single" w:sz="4" w:space="0" w:color="auto"/>
              <w:bottom w:val="single" w:sz="4" w:space="0" w:color="auto"/>
              <w:right w:val="single" w:sz="4" w:space="0" w:color="auto"/>
            </w:tcBorders>
            <w:noWrap/>
            <w:hideMark/>
          </w:tcPr>
          <w:p w14:paraId="3BA9BDB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696</w:t>
            </w:r>
          </w:p>
        </w:tc>
        <w:tc>
          <w:tcPr>
            <w:tcW w:w="1064" w:type="dxa"/>
            <w:tcBorders>
              <w:top w:val="single" w:sz="4" w:space="0" w:color="auto"/>
              <w:left w:val="single" w:sz="4" w:space="0" w:color="auto"/>
              <w:bottom w:val="single" w:sz="4" w:space="0" w:color="auto"/>
              <w:right w:val="single" w:sz="4" w:space="0" w:color="auto"/>
            </w:tcBorders>
            <w:noWrap/>
            <w:hideMark/>
          </w:tcPr>
          <w:p w14:paraId="79DEF35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74</w:t>
            </w:r>
          </w:p>
        </w:tc>
        <w:tc>
          <w:tcPr>
            <w:tcW w:w="910" w:type="dxa"/>
            <w:tcBorders>
              <w:top w:val="single" w:sz="4" w:space="0" w:color="auto"/>
              <w:left w:val="single" w:sz="4" w:space="0" w:color="auto"/>
              <w:bottom w:val="single" w:sz="4" w:space="0" w:color="auto"/>
              <w:right w:val="single" w:sz="4" w:space="0" w:color="auto"/>
            </w:tcBorders>
            <w:noWrap/>
            <w:hideMark/>
          </w:tcPr>
          <w:p w14:paraId="792A016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150</w:t>
            </w:r>
          </w:p>
        </w:tc>
        <w:tc>
          <w:tcPr>
            <w:tcW w:w="810" w:type="dxa"/>
            <w:tcBorders>
              <w:top w:val="single" w:sz="4" w:space="0" w:color="auto"/>
              <w:left w:val="single" w:sz="4" w:space="0" w:color="auto"/>
              <w:bottom w:val="single" w:sz="4" w:space="0" w:color="auto"/>
              <w:right w:val="single" w:sz="4" w:space="0" w:color="auto"/>
            </w:tcBorders>
            <w:noWrap/>
            <w:hideMark/>
          </w:tcPr>
          <w:p w14:paraId="5B83F00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64</w:t>
            </w:r>
          </w:p>
        </w:tc>
        <w:tc>
          <w:tcPr>
            <w:tcW w:w="1103" w:type="dxa"/>
            <w:tcBorders>
              <w:top w:val="single" w:sz="4" w:space="0" w:color="auto"/>
              <w:left w:val="single" w:sz="4" w:space="0" w:color="auto"/>
              <w:bottom w:val="single" w:sz="4" w:space="0" w:color="auto"/>
              <w:right w:val="single" w:sz="4" w:space="0" w:color="auto"/>
            </w:tcBorders>
            <w:noWrap/>
            <w:hideMark/>
          </w:tcPr>
          <w:p w14:paraId="6F9C3E3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214</w:t>
            </w:r>
          </w:p>
        </w:tc>
      </w:tr>
      <w:tr w:rsidR="005842E4" w14:paraId="6BBA2519"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7B5A87CC"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Qurayyat</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5B18A72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173,243</w:t>
            </w:r>
          </w:p>
        </w:tc>
        <w:tc>
          <w:tcPr>
            <w:tcW w:w="1103" w:type="dxa"/>
            <w:tcBorders>
              <w:top w:val="single" w:sz="4" w:space="0" w:color="auto"/>
              <w:left w:val="single" w:sz="4" w:space="0" w:color="auto"/>
              <w:bottom w:val="single" w:sz="4" w:space="0" w:color="auto"/>
              <w:right w:val="single" w:sz="4" w:space="0" w:color="auto"/>
            </w:tcBorders>
            <w:noWrap/>
            <w:hideMark/>
          </w:tcPr>
          <w:p w14:paraId="5BD066F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w:t>
            </w:r>
          </w:p>
        </w:tc>
        <w:tc>
          <w:tcPr>
            <w:tcW w:w="810" w:type="dxa"/>
            <w:tcBorders>
              <w:top w:val="single" w:sz="4" w:space="0" w:color="auto"/>
              <w:left w:val="single" w:sz="4" w:space="0" w:color="auto"/>
              <w:bottom w:val="single" w:sz="4" w:space="0" w:color="auto"/>
              <w:right w:val="single" w:sz="4" w:space="0" w:color="auto"/>
            </w:tcBorders>
            <w:noWrap/>
            <w:hideMark/>
          </w:tcPr>
          <w:p w14:paraId="650A10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490</w:t>
            </w:r>
          </w:p>
        </w:tc>
        <w:tc>
          <w:tcPr>
            <w:tcW w:w="961" w:type="dxa"/>
            <w:tcBorders>
              <w:top w:val="single" w:sz="4" w:space="0" w:color="auto"/>
              <w:left w:val="single" w:sz="4" w:space="0" w:color="auto"/>
              <w:bottom w:val="single" w:sz="4" w:space="0" w:color="auto"/>
              <w:right w:val="single" w:sz="4" w:space="0" w:color="auto"/>
            </w:tcBorders>
            <w:noWrap/>
            <w:hideMark/>
          </w:tcPr>
          <w:p w14:paraId="4E18AC8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434</w:t>
            </w:r>
          </w:p>
        </w:tc>
        <w:tc>
          <w:tcPr>
            <w:tcW w:w="1064" w:type="dxa"/>
            <w:tcBorders>
              <w:top w:val="single" w:sz="4" w:space="0" w:color="auto"/>
              <w:left w:val="single" w:sz="4" w:space="0" w:color="auto"/>
              <w:bottom w:val="single" w:sz="4" w:space="0" w:color="auto"/>
              <w:right w:val="single" w:sz="4" w:space="0" w:color="auto"/>
            </w:tcBorders>
            <w:noWrap/>
            <w:hideMark/>
          </w:tcPr>
          <w:p w14:paraId="239EC2C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56</w:t>
            </w:r>
          </w:p>
        </w:tc>
        <w:tc>
          <w:tcPr>
            <w:tcW w:w="910" w:type="dxa"/>
            <w:tcBorders>
              <w:top w:val="single" w:sz="4" w:space="0" w:color="auto"/>
              <w:left w:val="single" w:sz="4" w:space="0" w:color="auto"/>
              <w:bottom w:val="single" w:sz="4" w:space="0" w:color="auto"/>
              <w:right w:val="single" w:sz="4" w:space="0" w:color="auto"/>
            </w:tcBorders>
            <w:noWrap/>
            <w:hideMark/>
          </w:tcPr>
          <w:p w14:paraId="1CA2438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93</w:t>
            </w:r>
          </w:p>
        </w:tc>
        <w:tc>
          <w:tcPr>
            <w:tcW w:w="810" w:type="dxa"/>
            <w:tcBorders>
              <w:top w:val="single" w:sz="4" w:space="0" w:color="auto"/>
              <w:left w:val="single" w:sz="4" w:space="0" w:color="auto"/>
              <w:bottom w:val="single" w:sz="4" w:space="0" w:color="auto"/>
              <w:right w:val="single" w:sz="4" w:space="0" w:color="auto"/>
            </w:tcBorders>
            <w:noWrap/>
            <w:hideMark/>
          </w:tcPr>
          <w:p w14:paraId="18063F1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48</w:t>
            </w:r>
          </w:p>
        </w:tc>
        <w:tc>
          <w:tcPr>
            <w:tcW w:w="1103" w:type="dxa"/>
            <w:tcBorders>
              <w:top w:val="single" w:sz="4" w:space="0" w:color="auto"/>
              <w:left w:val="single" w:sz="4" w:space="0" w:color="auto"/>
              <w:bottom w:val="single" w:sz="4" w:space="0" w:color="auto"/>
              <w:right w:val="single" w:sz="4" w:space="0" w:color="auto"/>
            </w:tcBorders>
            <w:noWrap/>
            <w:hideMark/>
          </w:tcPr>
          <w:p w14:paraId="42AFC23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141</w:t>
            </w:r>
          </w:p>
        </w:tc>
      </w:tr>
      <w:tr w:rsidR="005842E4" w14:paraId="3F96D9DB"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5F2E129C"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Qunfudah</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058CE57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317,070</w:t>
            </w:r>
          </w:p>
        </w:tc>
        <w:tc>
          <w:tcPr>
            <w:tcW w:w="1103" w:type="dxa"/>
            <w:tcBorders>
              <w:top w:val="single" w:sz="4" w:space="0" w:color="auto"/>
              <w:left w:val="single" w:sz="4" w:space="0" w:color="auto"/>
              <w:bottom w:val="single" w:sz="4" w:space="0" w:color="auto"/>
              <w:right w:val="single" w:sz="4" w:space="0" w:color="auto"/>
            </w:tcBorders>
            <w:noWrap/>
            <w:hideMark/>
          </w:tcPr>
          <w:p w14:paraId="094C6E5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w:t>
            </w:r>
          </w:p>
        </w:tc>
        <w:tc>
          <w:tcPr>
            <w:tcW w:w="810" w:type="dxa"/>
            <w:tcBorders>
              <w:top w:val="single" w:sz="4" w:space="0" w:color="auto"/>
              <w:left w:val="single" w:sz="4" w:space="0" w:color="auto"/>
              <w:bottom w:val="single" w:sz="4" w:space="0" w:color="auto"/>
              <w:right w:val="single" w:sz="4" w:space="0" w:color="auto"/>
            </w:tcBorders>
            <w:noWrap/>
            <w:hideMark/>
          </w:tcPr>
          <w:p w14:paraId="54328E9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400</w:t>
            </w:r>
          </w:p>
        </w:tc>
        <w:tc>
          <w:tcPr>
            <w:tcW w:w="961" w:type="dxa"/>
            <w:tcBorders>
              <w:top w:val="single" w:sz="4" w:space="0" w:color="auto"/>
              <w:left w:val="single" w:sz="4" w:space="0" w:color="auto"/>
              <w:bottom w:val="single" w:sz="4" w:space="0" w:color="auto"/>
              <w:right w:val="single" w:sz="4" w:space="0" w:color="auto"/>
            </w:tcBorders>
            <w:noWrap/>
            <w:hideMark/>
          </w:tcPr>
          <w:p w14:paraId="3296436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338</w:t>
            </w:r>
          </w:p>
        </w:tc>
        <w:tc>
          <w:tcPr>
            <w:tcW w:w="1064" w:type="dxa"/>
            <w:tcBorders>
              <w:top w:val="single" w:sz="4" w:space="0" w:color="auto"/>
              <w:left w:val="single" w:sz="4" w:space="0" w:color="auto"/>
              <w:bottom w:val="single" w:sz="4" w:space="0" w:color="auto"/>
              <w:right w:val="single" w:sz="4" w:space="0" w:color="auto"/>
            </w:tcBorders>
            <w:noWrap/>
            <w:hideMark/>
          </w:tcPr>
          <w:p w14:paraId="49A39D0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62</w:t>
            </w:r>
          </w:p>
        </w:tc>
        <w:tc>
          <w:tcPr>
            <w:tcW w:w="910" w:type="dxa"/>
            <w:tcBorders>
              <w:top w:val="single" w:sz="4" w:space="0" w:color="auto"/>
              <w:left w:val="single" w:sz="4" w:space="0" w:color="auto"/>
              <w:bottom w:val="single" w:sz="4" w:space="0" w:color="auto"/>
              <w:right w:val="single" w:sz="4" w:space="0" w:color="auto"/>
            </w:tcBorders>
            <w:noWrap/>
            <w:hideMark/>
          </w:tcPr>
          <w:p w14:paraId="24CB151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73</w:t>
            </w:r>
          </w:p>
        </w:tc>
        <w:tc>
          <w:tcPr>
            <w:tcW w:w="810" w:type="dxa"/>
            <w:tcBorders>
              <w:top w:val="single" w:sz="4" w:space="0" w:color="auto"/>
              <w:left w:val="single" w:sz="4" w:space="0" w:color="auto"/>
              <w:bottom w:val="single" w:sz="4" w:space="0" w:color="auto"/>
              <w:right w:val="single" w:sz="4" w:space="0" w:color="auto"/>
            </w:tcBorders>
            <w:noWrap/>
            <w:hideMark/>
          </w:tcPr>
          <w:p w14:paraId="1DF5ED0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53</w:t>
            </w:r>
          </w:p>
        </w:tc>
        <w:tc>
          <w:tcPr>
            <w:tcW w:w="1103" w:type="dxa"/>
            <w:tcBorders>
              <w:top w:val="single" w:sz="4" w:space="0" w:color="auto"/>
              <w:left w:val="single" w:sz="4" w:space="0" w:color="auto"/>
              <w:bottom w:val="single" w:sz="4" w:space="0" w:color="auto"/>
              <w:right w:val="single" w:sz="4" w:space="0" w:color="auto"/>
            </w:tcBorders>
            <w:noWrap/>
            <w:hideMark/>
          </w:tcPr>
          <w:p w14:paraId="7E91EF5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126</w:t>
            </w:r>
          </w:p>
        </w:tc>
      </w:tr>
      <w:tr w:rsidR="005842E4" w14:paraId="162C5025"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193081E6"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Tabouk</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74F4182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930,507</w:t>
            </w:r>
          </w:p>
        </w:tc>
        <w:tc>
          <w:tcPr>
            <w:tcW w:w="1103" w:type="dxa"/>
            <w:tcBorders>
              <w:top w:val="single" w:sz="4" w:space="0" w:color="auto"/>
              <w:left w:val="single" w:sz="4" w:space="0" w:color="auto"/>
              <w:bottom w:val="single" w:sz="4" w:space="0" w:color="auto"/>
              <w:right w:val="single" w:sz="4" w:space="0" w:color="auto"/>
            </w:tcBorders>
            <w:noWrap/>
            <w:hideMark/>
          </w:tcPr>
          <w:p w14:paraId="534EF0C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w:t>
            </w:r>
          </w:p>
        </w:tc>
        <w:tc>
          <w:tcPr>
            <w:tcW w:w="810" w:type="dxa"/>
            <w:tcBorders>
              <w:top w:val="single" w:sz="4" w:space="0" w:color="auto"/>
              <w:left w:val="single" w:sz="4" w:space="0" w:color="auto"/>
              <w:bottom w:val="single" w:sz="4" w:space="0" w:color="auto"/>
              <w:right w:val="single" w:sz="4" w:space="0" w:color="auto"/>
            </w:tcBorders>
            <w:noWrap/>
            <w:hideMark/>
          </w:tcPr>
          <w:p w14:paraId="1677B1B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2548</w:t>
            </w:r>
          </w:p>
        </w:tc>
        <w:tc>
          <w:tcPr>
            <w:tcW w:w="961" w:type="dxa"/>
            <w:tcBorders>
              <w:top w:val="single" w:sz="4" w:space="0" w:color="auto"/>
              <w:left w:val="single" w:sz="4" w:space="0" w:color="auto"/>
              <w:bottom w:val="single" w:sz="4" w:space="0" w:color="auto"/>
              <w:right w:val="single" w:sz="4" w:space="0" w:color="auto"/>
            </w:tcBorders>
            <w:noWrap/>
            <w:hideMark/>
          </w:tcPr>
          <w:p w14:paraId="08E9DF3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2224</w:t>
            </w:r>
          </w:p>
        </w:tc>
        <w:tc>
          <w:tcPr>
            <w:tcW w:w="1064" w:type="dxa"/>
            <w:tcBorders>
              <w:top w:val="single" w:sz="4" w:space="0" w:color="auto"/>
              <w:left w:val="single" w:sz="4" w:space="0" w:color="auto"/>
              <w:bottom w:val="single" w:sz="4" w:space="0" w:color="auto"/>
              <w:right w:val="single" w:sz="4" w:space="0" w:color="auto"/>
            </w:tcBorders>
            <w:noWrap/>
            <w:hideMark/>
          </w:tcPr>
          <w:p w14:paraId="0F255F7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324</w:t>
            </w:r>
          </w:p>
        </w:tc>
        <w:tc>
          <w:tcPr>
            <w:tcW w:w="910" w:type="dxa"/>
            <w:tcBorders>
              <w:top w:val="single" w:sz="4" w:space="0" w:color="auto"/>
              <w:left w:val="single" w:sz="4" w:space="0" w:color="auto"/>
              <w:bottom w:val="single" w:sz="4" w:space="0" w:color="auto"/>
              <w:right w:val="single" w:sz="4" w:space="0" w:color="auto"/>
            </w:tcBorders>
            <w:noWrap/>
            <w:hideMark/>
          </w:tcPr>
          <w:p w14:paraId="27CBC58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479</w:t>
            </w:r>
          </w:p>
        </w:tc>
        <w:tc>
          <w:tcPr>
            <w:tcW w:w="810" w:type="dxa"/>
            <w:tcBorders>
              <w:top w:val="single" w:sz="4" w:space="0" w:color="auto"/>
              <w:left w:val="single" w:sz="4" w:space="0" w:color="auto"/>
              <w:bottom w:val="single" w:sz="4" w:space="0" w:color="auto"/>
              <w:right w:val="single" w:sz="4" w:space="0" w:color="auto"/>
            </w:tcBorders>
            <w:noWrap/>
            <w:hideMark/>
          </w:tcPr>
          <w:p w14:paraId="4F64899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279</w:t>
            </w:r>
          </w:p>
        </w:tc>
        <w:tc>
          <w:tcPr>
            <w:tcW w:w="1103" w:type="dxa"/>
            <w:tcBorders>
              <w:top w:val="single" w:sz="4" w:space="0" w:color="auto"/>
              <w:left w:val="single" w:sz="4" w:space="0" w:color="auto"/>
              <w:bottom w:val="single" w:sz="4" w:space="0" w:color="auto"/>
              <w:right w:val="single" w:sz="4" w:space="0" w:color="auto"/>
            </w:tcBorders>
            <w:noWrap/>
            <w:hideMark/>
          </w:tcPr>
          <w:p w14:paraId="5EFFCB6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758</w:t>
            </w:r>
          </w:p>
        </w:tc>
      </w:tr>
      <w:tr w:rsidR="005842E4" w14:paraId="7B56170F"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3D0B67B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 Madinah</w:t>
            </w:r>
          </w:p>
        </w:tc>
        <w:tc>
          <w:tcPr>
            <w:tcW w:w="1311" w:type="dxa"/>
            <w:tcBorders>
              <w:top w:val="single" w:sz="4" w:space="0" w:color="auto"/>
              <w:left w:val="single" w:sz="4" w:space="0" w:color="auto"/>
              <w:bottom w:val="single" w:sz="4" w:space="0" w:color="auto"/>
              <w:right w:val="single" w:sz="4" w:space="0" w:color="auto"/>
            </w:tcBorders>
            <w:noWrap/>
            <w:hideMark/>
          </w:tcPr>
          <w:p w14:paraId="7996D43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2,188,138</w:t>
            </w:r>
          </w:p>
        </w:tc>
        <w:tc>
          <w:tcPr>
            <w:tcW w:w="1103" w:type="dxa"/>
            <w:tcBorders>
              <w:top w:val="single" w:sz="4" w:space="0" w:color="auto"/>
              <w:left w:val="single" w:sz="4" w:space="0" w:color="auto"/>
              <w:bottom w:val="single" w:sz="4" w:space="0" w:color="auto"/>
              <w:right w:val="single" w:sz="4" w:space="0" w:color="auto"/>
            </w:tcBorders>
            <w:noWrap/>
            <w:hideMark/>
          </w:tcPr>
          <w:p w14:paraId="2A58EC3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w:t>
            </w:r>
          </w:p>
        </w:tc>
        <w:tc>
          <w:tcPr>
            <w:tcW w:w="810" w:type="dxa"/>
            <w:tcBorders>
              <w:top w:val="single" w:sz="4" w:space="0" w:color="auto"/>
              <w:left w:val="single" w:sz="4" w:space="0" w:color="auto"/>
              <w:bottom w:val="single" w:sz="4" w:space="0" w:color="auto"/>
              <w:right w:val="single" w:sz="4" w:space="0" w:color="auto"/>
            </w:tcBorders>
            <w:noWrap/>
            <w:hideMark/>
          </w:tcPr>
          <w:p w14:paraId="306A114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4553</w:t>
            </w:r>
          </w:p>
        </w:tc>
        <w:tc>
          <w:tcPr>
            <w:tcW w:w="961" w:type="dxa"/>
            <w:tcBorders>
              <w:top w:val="single" w:sz="4" w:space="0" w:color="auto"/>
              <w:left w:val="single" w:sz="4" w:space="0" w:color="auto"/>
              <w:bottom w:val="single" w:sz="4" w:space="0" w:color="auto"/>
              <w:right w:val="single" w:sz="4" w:space="0" w:color="auto"/>
            </w:tcBorders>
            <w:noWrap/>
            <w:hideMark/>
          </w:tcPr>
          <w:p w14:paraId="7026C0B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3901</w:t>
            </w:r>
          </w:p>
        </w:tc>
        <w:tc>
          <w:tcPr>
            <w:tcW w:w="1064" w:type="dxa"/>
            <w:tcBorders>
              <w:top w:val="single" w:sz="4" w:space="0" w:color="auto"/>
              <w:left w:val="single" w:sz="4" w:space="0" w:color="auto"/>
              <w:bottom w:val="single" w:sz="4" w:space="0" w:color="auto"/>
              <w:right w:val="single" w:sz="4" w:space="0" w:color="auto"/>
            </w:tcBorders>
            <w:noWrap/>
            <w:hideMark/>
          </w:tcPr>
          <w:p w14:paraId="19BB1A9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652</w:t>
            </w:r>
          </w:p>
        </w:tc>
        <w:tc>
          <w:tcPr>
            <w:tcW w:w="910" w:type="dxa"/>
            <w:tcBorders>
              <w:top w:val="single" w:sz="4" w:space="0" w:color="auto"/>
              <w:left w:val="single" w:sz="4" w:space="0" w:color="auto"/>
              <w:bottom w:val="single" w:sz="4" w:space="0" w:color="auto"/>
              <w:right w:val="single" w:sz="4" w:space="0" w:color="auto"/>
            </w:tcBorders>
            <w:noWrap/>
            <w:hideMark/>
          </w:tcPr>
          <w:p w14:paraId="39F8206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839</w:t>
            </w:r>
          </w:p>
        </w:tc>
        <w:tc>
          <w:tcPr>
            <w:tcW w:w="810" w:type="dxa"/>
            <w:tcBorders>
              <w:top w:val="single" w:sz="4" w:space="0" w:color="auto"/>
              <w:left w:val="single" w:sz="4" w:space="0" w:color="auto"/>
              <w:bottom w:val="single" w:sz="4" w:space="0" w:color="auto"/>
              <w:right w:val="single" w:sz="4" w:space="0" w:color="auto"/>
            </w:tcBorders>
            <w:noWrap/>
            <w:hideMark/>
          </w:tcPr>
          <w:p w14:paraId="7EFFA11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561</w:t>
            </w:r>
          </w:p>
        </w:tc>
        <w:tc>
          <w:tcPr>
            <w:tcW w:w="1103" w:type="dxa"/>
            <w:tcBorders>
              <w:top w:val="single" w:sz="4" w:space="0" w:color="auto"/>
              <w:left w:val="single" w:sz="4" w:space="0" w:color="auto"/>
              <w:bottom w:val="single" w:sz="4" w:space="0" w:color="auto"/>
              <w:right w:val="single" w:sz="4" w:space="0" w:color="auto"/>
            </w:tcBorders>
            <w:noWrap/>
            <w:hideMark/>
          </w:tcPr>
          <w:p w14:paraId="2FD4373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1400</w:t>
            </w:r>
          </w:p>
        </w:tc>
      </w:tr>
      <w:tr w:rsidR="005842E4" w14:paraId="13B0EFEF"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30BF867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Makkah</w:t>
            </w:r>
          </w:p>
        </w:tc>
        <w:tc>
          <w:tcPr>
            <w:tcW w:w="1311" w:type="dxa"/>
            <w:tcBorders>
              <w:top w:val="single" w:sz="4" w:space="0" w:color="auto"/>
              <w:left w:val="single" w:sz="4" w:space="0" w:color="auto"/>
              <w:bottom w:val="single" w:sz="4" w:space="0" w:color="auto"/>
              <w:right w:val="single" w:sz="4" w:space="0" w:color="auto"/>
            </w:tcBorders>
            <w:noWrap/>
            <w:hideMark/>
          </w:tcPr>
          <w:p w14:paraId="3E978D4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2,386,900</w:t>
            </w:r>
          </w:p>
        </w:tc>
        <w:tc>
          <w:tcPr>
            <w:tcW w:w="1103" w:type="dxa"/>
            <w:tcBorders>
              <w:top w:val="single" w:sz="4" w:space="0" w:color="auto"/>
              <w:left w:val="single" w:sz="4" w:space="0" w:color="auto"/>
              <w:bottom w:val="single" w:sz="4" w:space="0" w:color="auto"/>
              <w:right w:val="single" w:sz="4" w:space="0" w:color="auto"/>
            </w:tcBorders>
            <w:noWrap/>
            <w:hideMark/>
          </w:tcPr>
          <w:p w14:paraId="5713C02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w:t>
            </w:r>
          </w:p>
        </w:tc>
        <w:tc>
          <w:tcPr>
            <w:tcW w:w="810" w:type="dxa"/>
            <w:tcBorders>
              <w:top w:val="single" w:sz="4" w:space="0" w:color="auto"/>
              <w:left w:val="single" w:sz="4" w:space="0" w:color="auto"/>
              <w:bottom w:val="single" w:sz="4" w:space="0" w:color="auto"/>
              <w:right w:val="single" w:sz="4" w:space="0" w:color="auto"/>
            </w:tcBorders>
            <w:noWrap/>
            <w:hideMark/>
          </w:tcPr>
          <w:p w14:paraId="2BBF46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3360</w:t>
            </w:r>
          </w:p>
        </w:tc>
        <w:tc>
          <w:tcPr>
            <w:tcW w:w="961" w:type="dxa"/>
            <w:tcBorders>
              <w:top w:val="single" w:sz="4" w:space="0" w:color="auto"/>
              <w:left w:val="single" w:sz="4" w:space="0" w:color="auto"/>
              <w:bottom w:val="single" w:sz="4" w:space="0" w:color="auto"/>
              <w:right w:val="single" w:sz="4" w:space="0" w:color="auto"/>
            </w:tcBorders>
            <w:noWrap/>
            <w:hideMark/>
          </w:tcPr>
          <w:p w14:paraId="63F1142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2909</w:t>
            </w:r>
          </w:p>
        </w:tc>
        <w:tc>
          <w:tcPr>
            <w:tcW w:w="1064" w:type="dxa"/>
            <w:tcBorders>
              <w:top w:val="single" w:sz="4" w:space="0" w:color="auto"/>
              <w:left w:val="single" w:sz="4" w:space="0" w:color="auto"/>
              <w:bottom w:val="single" w:sz="4" w:space="0" w:color="auto"/>
              <w:right w:val="single" w:sz="4" w:space="0" w:color="auto"/>
            </w:tcBorders>
            <w:noWrap/>
            <w:hideMark/>
          </w:tcPr>
          <w:p w14:paraId="32A0268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451</w:t>
            </w:r>
          </w:p>
        </w:tc>
        <w:tc>
          <w:tcPr>
            <w:tcW w:w="910" w:type="dxa"/>
            <w:tcBorders>
              <w:top w:val="single" w:sz="4" w:space="0" w:color="auto"/>
              <w:left w:val="single" w:sz="4" w:space="0" w:color="auto"/>
              <w:bottom w:val="single" w:sz="4" w:space="0" w:color="auto"/>
              <w:right w:val="single" w:sz="4" w:space="0" w:color="auto"/>
            </w:tcBorders>
            <w:noWrap/>
            <w:hideMark/>
          </w:tcPr>
          <w:p w14:paraId="44F26ED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627</w:t>
            </w:r>
          </w:p>
        </w:tc>
        <w:tc>
          <w:tcPr>
            <w:tcW w:w="810" w:type="dxa"/>
            <w:tcBorders>
              <w:top w:val="single" w:sz="4" w:space="0" w:color="auto"/>
              <w:left w:val="single" w:sz="4" w:space="0" w:color="auto"/>
              <w:bottom w:val="single" w:sz="4" w:space="0" w:color="auto"/>
              <w:right w:val="single" w:sz="4" w:space="0" w:color="auto"/>
            </w:tcBorders>
            <w:noWrap/>
            <w:hideMark/>
          </w:tcPr>
          <w:p w14:paraId="2392321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389</w:t>
            </w:r>
          </w:p>
        </w:tc>
        <w:tc>
          <w:tcPr>
            <w:tcW w:w="1103" w:type="dxa"/>
            <w:tcBorders>
              <w:top w:val="single" w:sz="4" w:space="0" w:color="auto"/>
              <w:left w:val="single" w:sz="4" w:space="0" w:color="auto"/>
              <w:bottom w:val="single" w:sz="4" w:space="0" w:color="auto"/>
              <w:right w:val="single" w:sz="4" w:space="0" w:color="auto"/>
            </w:tcBorders>
            <w:noWrap/>
            <w:hideMark/>
          </w:tcPr>
          <w:p w14:paraId="3A98D1A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1016</w:t>
            </w:r>
          </w:p>
        </w:tc>
      </w:tr>
      <w:tr w:rsidR="005842E4" w14:paraId="1777B13D"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05F150A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Eastern Province</w:t>
            </w:r>
          </w:p>
        </w:tc>
        <w:tc>
          <w:tcPr>
            <w:tcW w:w="1311" w:type="dxa"/>
            <w:tcBorders>
              <w:top w:val="single" w:sz="4" w:space="0" w:color="auto"/>
              <w:left w:val="single" w:sz="4" w:space="0" w:color="auto"/>
              <w:bottom w:val="single" w:sz="4" w:space="0" w:color="auto"/>
              <w:right w:val="single" w:sz="4" w:space="0" w:color="auto"/>
            </w:tcBorders>
            <w:noWrap/>
            <w:hideMark/>
          </w:tcPr>
          <w:p w14:paraId="15AF222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3,318,189</w:t>
            </w:r>
          </w:p>
        </w:tc>
        <w:tc>
          <w:tcPr>
            <w:tcW w:w="1103" w:type="dxa"/>
            <w:tcBorders>
              <w:top w:val="single" w:sz="4" w:space="0" w:color="auto"/>
              <w:left w:val="single" w:sz="4" w:space="0" w:color="auto"/>
              <w:bottom w:val="single" w:sz="4" w:space="0" w:color="auto"/>
              <w:right w:val="single" w:sz="4" w:space="0" w:color="auto"/>
            </w:tcBorders>
            <w:noWrap/>
            <w:hideMark/>
          </w:tcPr>
          <w:p w14:paraId="7ABE210F"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51</w:t>
            </w:r>
          </w:p>
        </w:tc>
        <w:tc>
          <w:tcPr>
            <w:tcW w:w="810" w:type="dxa"/>
            <w:tcBorders>
              <w:top w:val="single" w:sz="4" w:space="0" w:color="auto"/>
              <w:left w:val="single" w:sz="4" w:space="0" w:color="auto"/>
              <w:bottom w:val="single" w:sz="4" w:space="0" w:color="auto"/>
              <w:right w:val="single" w:sz="4" w:space="0" w:color="auto"/>
            </w:tcBorders>
            <w:noWrap/>
            <w:hideMark/>
          </w:tcPr>
          <w:p w14:paraId="6B07360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9389</w:t>
            </w:r>
          </w:p>
        </w:tc>
        <w:tc>
          <w:tcPr>
            <w:tcW w:w="961" w:type="dxa"/>
            <w:tcBorders>
              <w:top w:val="single" w:sz="4" w:space="0" w:color="auto"/>
              <w:left w:val="single" w:sz="4" w:space="0" w:color="auto"/>
              <w:bottom w:val="single" w:sz="4" w:space="0" w:color="auto"/>
              <w:right w:val="single" w:sz="4" w:space="0" w:color="auto"/>
            </w:tcBorders>
            <w:noWrap/>
            <w:hideMark/>
          </w:tcPr>
          <w:p w14:paraId="0EB1AFC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8532</w:t>
            </w:r>
          </w:p>
        </w:tc>
        <w:tc>
          <w:tcPr>
            <w:tcW w:w="1064" w:type="dxa"/>
            <w:tcBorders>
              <w:top w:val="single" w:sz="4" w:space="0" w:color="auto"/>
              <w:left w:val="single" w:sz="4" w:space="0" w:color="auto"/>
              <w:bottom w:val="single" w:sz="4" w:space="0" w:color="auto"/>
              <w:right w:val="single" w:sz="4" w:space="0" w:color="auto"/>
            </w:tcBorders>
            <w:noWrap/>
            <w:hideMark/>
          </w:tcPr>
          <w:p w14:paraId="51B1F09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857</w:t>
            </w:r>
          </w:p>
        </w:tc>
        <w:tc>
          <w:tcPr>
            <w:tcW w:w="910" w:type="dxa"/>
            <w:tcBorders>
              <w:top w:val="single" w:sz="4" w:space="0" w:color="auto"/>
              <w:left w:val="single" w:sz="4" w:space="0" w:color="auto"/>
              <w:bottom w:val="single" w:sz="4" w:space="0" w:color="auto"/>
              <w:right w:val="single" w:sz="4" w:space="0" w:color="auto"/>
            </w:tcBorders>
            <w:noWrap/>
            <w:hideMark/>
          </w:tcPr>
          <w:p w14:paraId="32669AC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1837</w:t>
            </w:r>
          </w:p>
        </w:tc>
        <w:tc>
          <w:tcPr>
            <w:tcW w:w="810" w:type="dxa"/>
            <w:tcBorders>
              <w:top w:val="single" w:sz="4" w:space="0" w:color="auto"/>
              <w:left w:val="single" w:sz="4" w:space="0" w:color="auto"/>
              <w:bottom w:val="single" w:sz="4" w:space="0" w:color="auto"/>
              <w:right w:val="single" w:sz="4" w:space="0" w:color="auto"/>
            </w:tcBorders>
            <w:noWrap/>
            <w:hideMark/>
          </w:tcPr>
          <w:p w14:paraId="254CB5A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737</w:t>
            </w:r>
          </w:p>
        </w:tc>
        <w:tc>
          <w:tcPr>
            <w:tcW w:w="1103" w:type="dxa"/>
            <w:tcBorders>
              <w:top w:val="single" w:sz="4" w:space="0" w:color="auto"/>
              <w:left w:val="single" w:sz="4" w:space="0" w:color="auto"/>
              <w:bottom w:val="single" w:sz="4" w:space="0" w:color="auto"/>
              <w:right w:val="single" w:sz="4" w:space="0" w:color="auto"/>
            </w:tcBorders>
            <w:noWrap/>
            <w:hideMark/>
          </w:tcPr>
          <w:p w14:paraId="0AE1E76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2574</w:t>
            </w:r>
          </w:p>
        </w:tc>
      </w:tr>
      <w:tr w:rsidR="005842E4" w14:paraId="4654C673"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65D741E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Al-Qassim</w:t>
            </w:r>
          </w:p>
        </w:tc>
        <w:tc>
          <w:tcPr>
            <w:tcW w:w="1311" w:type="dxa"/>
            <w:tcBorders>
              <w:top w:val="single" w:sz="4" w:space="0" w:color="auto"/>
              <w:left w:val="single" w:sz="4" w:space="0" w:color="auto"/>
              <w:bottom w:val="single" w:sz="4" w:space="0" w:color="auto"/>
              <w:right w:val="single" w:sz="4" w:space="0" w:color="auto"/>
            </w:tcBorders>
            <w:noWrap/>
            <w:hideMark/>
          </w:tcPr>
          <w:p w14:paraId="0E09405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1,455,693</w:t>
            </w:r>
          </w:p>
        </w:tc>
        <w:tc>
          <w:tcPr>
            <w:tcW w:w="1103" w:type="dxa"/>
            <w:tcBorders>
              <w:top w:val="single" w:sz="4" w:space="0" w:color="auto"/>
              <w:left w:val="single" w:sz="4" w:space="0" w:color="auto"/>
              <w:bottom w:val="single" w:sz="4" w:space="0" w:color="auto"/>
              <w:right w:val="single" w:sz="4" w:space="0" w:color="auto"/>
            </w:tcBorders>
            <w:noWrap/>
            <w:hideMark/>
          </w:tcPr>
          <w:p w14:paraId="13F5631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w:t>
            </w:r>
          </w:p>
        </w:tc>
        <w:tc>
          <w:tcPr>
            <w:tcW w:w="810" w:type="dxa"/>
            <w:tcBorders>
              <w:top w:val="single" w:sz="4" w:space="0" w:color="auto"/>
              <w:left w:val="single" w:sz="4" w:space="0" w:color="auto"/>
              <w:bottom w:val="single" w:sz="4" w:space="0" w:color="auto"/>
              <w:right w:val="single" w:sz="4" w:space="0" w:color="auto"/>
            </w:tcBorders>
            <w:noWrap/>
            <w:hideMark/>
          </w:tcPr>
          <w:p w14:paraId="47E7CA1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3202</w:t>
            </w:r>
          </w:p>
        </w:tc>
        <w:tc>
          <w:tcPr>
            <w:tcW w:w="961" w:type="dxa"/>
            <w:tcBorders>
              <w:top w:val="single" w:sz="4" w:space="0" w:color="auto"/>
              <w:left w:val="single" w:sz="4" w:space="0" w:color="auto"/>
              <w:bottom w:val="single" w:sz="4" w:space="0" w:color="auto"/>
              <w:right w:val="single" w:sz="4" w:space="0" w:color="auto"/>
            </w:tcBorders>
            <w:noWrap/>
            <w:hideMark/>
          </w:tcPr>
          <w:p w14:paraId="223FBE0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2755</w:t>
            </w:r>
          </w:p>
        </w:tc>
        <w:tc>
          <w:tcPr>
            <w:tcW w:w="1064" w:type="dxa"/>
            <w:tcBorders>
              <w:top w:val="single" w:sz="4" w:space="0" w:color="auto"/>
              <w:left w:val="single" w:sz="4" w:space="0" w:color="auto"/>
              <w:bottom w:val="single" w:sz="4" w:space="0" w:color="auto"/>
              <w:right w:val="single" w:sz="4" w:space="0" w:color="auto"/>
            </w:tcBorders>
            <w:noWrap/>
            <w:hideMark/>
          </w:tcPr>
          <w:p w14:paraId="026AC45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447</w:t>
            </w:r>
          </w:p>
        </w:tc>
        <w:tc>
          <w:tcPr>
            <w:tcW w:w="910" w:type="dxa"/>
            <w:tcBorders>
              <w:top w:val="single" w:sz="4" w:space="0" w:color="auto"/>
              <w:left w:val="single" w:sz="4" w:space="0" w:color="auto"/>
              <w:bottom w:val="single" w:sz="4" w:space="0" w:color="auto"/>
              <w:right w:val="single" w:sz="4" w:space="0" w:color="auto"/>
            </w:tcBorders>
            <w:noWrap/>
            <w:hideMark/>
          </w:tcPr>
          <w:p w14:paraId="54FA888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593</w:t>
            </w:r>
          </w:p>
        </w:tc>
        <w:tc>
          <w:tcPr>
            <w:tcW w:w="810" w:type="dxa"/>
            <w:tcBorders>
              <w:top w:val="single" w:sz="4" w:space="0" w:color="auto"/>
              <w:left w:val="single" w:sz="4" w:space="0" w:color="auto"/>
              <w:bottom w:val="single" w:sz="4" w:space="0" w:color="auto"/>
              <w:right w:val="single" w:sz="4" w:space="0" w:color="auto"/>
            </w:tcBorders>
            <w:noWrap/>
            <w:hideMark/>
          </w:tcPr>
          <w:p w14:paraId="2A5598B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385</w:t>
            </w:r>
          </w:p>
        </w:tc>
        <w:tc>
          <w:tcPr>
            <w:tcW w:w="1103" w:type="dxa"/>
            <w:tcBorders>
              <w:top w:val="single" w:sz="4" w:space="0" w:color="auto"/>
              <w:left w:val="single" w:sz="4" w:space="0" w:color="auto"/>
              <w:bottom w:val="single" w:sz="4" w:space="0" w:color="auto"/>
              <w:right w:val="single" w:sz="4" w:space="0" w:color="auto"/>
            </w:tcBorders>
            <w:noWrap/>
            <w:hideMark/>
          </w:tcPr>
          <w:p w14:paraId="30D068E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978</w:t>
            </w:r>
          </w:p>
        </w:tc>
      </w:tr>
      <w:tr w:rsidR="005842E4" w14:paraId="3BA8729E"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3D4DF887"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Bahah</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7344293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487,108</w:t>
            </w:r>
          </w:p>
        </w:tc>
        <w:tc>
          <w:tcPr>
            <w:tcW w:w="1103" w:type="dxa"/>
            <w:tcBorders>
              <w:top w:val="single" w:sz="4" w:space="0" w:color="auto"/>
              <w:left w:val="single" w:sz="4" w:space="0" w:color="auto"/>
              <w:bottom w:val="single" w:sz="4" w:space="0" w:color="auto"/>
              <w:right w:val="single" w:sz="4" w:space="0" w:color="auto"/>
            </w:tcBorders>
            <w:noWrap/>
            <w:hideMark/>
          </w:tcPr>
          <w:p w14:paraId="18EDD21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w:t>
            </w:r>
          </w:p>
        </w:tc>
        <w:tc>
          <w:tcPr>
            <w:tcW w:w="810" w:type="dxa"/>
            <w:tcBorders>
              <w:top w:val="single" w:sz="4" w:space="0" w:color="auto"/>
              <w:left w:val="single" w:sz="4" w:space="0" w:color="auto"/>
              <w:bottom w:val="single" w:sz="4" w:space="0" w:color="auto"/>
              <w:right w:val="single" w:sz="4" w:space="0" w:color="auto"/>
            </w:tcBorders>
            <w:noWrap/>
            <w:hideMark/>
          </w:tcPr>
          <w:p w14:paraId="76A25FC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1295</w:t>
            </w:r>
          </w:p>
        </w:tc>
        <w:tc>
          <w:tcPr>
            <w:tcW w:w="961" w:type="dxa"/>
            <w:tcBorders>
              <w:top w:val="single" w:sz="4" w:space="0" w:color="auto"/>
              <w:left w:val="single" w:sz="4" w:space="0" w:color="auto"/>
              <w:bottom w:val="single" w:sz="4" w:space="0" w:color="auto"/>
              <w:right w:val="single" w:sz="4" w:space="0" w:color="auto"/>
            </w:tcBorders>
            <w:noWrap/>
            <w:hideMark/>
          </w:tcPr>
          <w:p w14:paraId="4E4031F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1194</w:t>
            </w:r>
          </w:p>
        </w:tc>
        <w:tc>
          <w:tcPr>
            <w:tcW w:w="1064" w:type="dxa"/>
            <w:tcBorders>
              <w:top w:val="single" w:sz="4" w:space="0" w:color="auto"/>
              <w:left w:val="single" w:sz="4" w:space="0" w:color="auto"/>
              <w:bottom w:val="single" w:sz="4" w:space="0" w:color="auto"/>
              <w:right w:val="single" w:sz="4" w:space="0" w:color="auto"/>
            </w:tcBorders>
            <w:noWrap/>
            <w:hideMark/>
          </w:tcPr>
          <w:p w14:paraId="0FC9120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101</w:t>
            </w:r>
          </w:p>
        </w:tc>
        <w:tc>
          <w:tcPr>
            <w:tcW w:w="910" w:type="dxa"/>
            <w:tcBorders>
              <w:top w:val="single" w:sz="4" w:space="0" w:color="auto"/>
              <w:left w:val="single" w:sz="4" w:space="0" w:color="auto"/>
              <w:bottom w:val="single" w:sz="4" w:space="0" w:color="auto"/>
              <w:right w:val="single" w:sz="4" w:space="0" w:color="auto"/>
            </w:tcBorders>
            <w:noWrap/>
            <w:hideMark/>
          </w:tcPr>
          <w:p w14:paraId="2FC4FC0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257</w:t>
            </w:r>
          </w:p>
        </w:tc>
        <w:tc>
          <w:tcPr>
            <w:tcW w:w="810" w:type="dxa"/>
            <w:tcBorders>
              <w:top w:val="single" w:sz="4" w:space="0" w:color="auto"/>
              <w:left w:val="single" w:sz="4" w:space="0" w:color="auto"/>
              <w:bottom w:val="single" w:sz="4" w:space="0" w:color="auto"/>
              <w:right w:val="single" w:sz="4" w:space="0" w:color="auto"/>
            </w:tcBorders>
            <w:noWrap/>
            <w:hideMark/>
          </w:tcPr>
          <w:p w14:paraId="33051A1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87</w:t>
            </w:r>
          </w:p>
        </w:tc>
        <w:tc>
          <w:tcPr>
            <w:tcW w:w="1103" w:type="dxa"/>
            <w:tcBorders>
              <w:top w:val="single" w:sz="4" w:space="0" w:color="auto"/>
              <w:left w:val="single" w:sz="4" w:space="0" w:color="auto"/>
              <w:bottom w:val="single" w:sz="4" w:space="0" w:color="auto"/>
              <w:right w:val="single" w:sz="4" w:space="0" w:color="auto"/>
            </w:tcBorders>
            <w:noWrap/>
            <w:hideMark/>
          </w:tcPr>
          <w:p w14:paraId="65C7C39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344</w:t>
            </w:r>
          </w:p>
        </w:tc>
      </w:tr>
      <w:tr w:rsidR="005842E4" w14:paraId="5BEC6A86"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4841F8A8"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Ha'il</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25ED160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716,021</w:t>
            </w:r>
          </w:p>
        </w:tc>
        <w:tc>
          <w:tcPr>
            <w:tcW w:w="1103" w:type="dxa"/>
            <w:tcBorders>
              <w:top w:val="single" w:sz="4" w:space="0" w:color="auto"/>
              <w:left w:val="single" w:sz="4" w:space="0" w:color="auto"/>
              <w:bottom w:val="single" w:sz="4" w:space="0" w:color="auto"/>
              <w:right w:val="single" w:sz="4" w:space="0" w:color="auto"/>
            </w:tcBorders>
            <w:noWrap/>
            <w:hideMark/>
          </w:tcPr>
          <w:p w14:paraId="1372F1F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w:t>
            </w:r>
          </w:p>
        </w:tc>
        <w:tc>
          <w:tcPr>
            <w:tcW w:w="810" w:type="dxa"/>
            <w:tcBorders>
              <w:top w:val="single" w:sz="4" w:space="0" w:color="auto"/>
              <w:left w:val="single" w:sz="4" w:space="0" w:color="auto"/>
              <w:bottom w:val="single" w:sz="4" w:space="0" w:color="auto"/>
              <w:right w:val="single" w:sz="4" w:space="0" w:color="auto"/>
            </w:tcBorders>
            <w:noWrap/>
            <w:hideMark/>
          </w:tcPr>
          <w:p w14:paraId="3BB89DD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1960</w:t>
            </w:r>
          </w:p>
        </w:tc>
        <w:tc>
          <w:tcPr>
            <w:tcW w:w="961" w:type="dxa"/>
            <w:tcBorders>
              <w:top w:val="single" w:sz="4" w:space="0" w:color="auto"/>
              <w:left w:val="single" w:sz="4" w:space="0" w:color="auto"/>
              <w:bottom w:val="single" w:sz="4" w:space="0" w:color="auto"/>
              <w:right w:val="single" w:sz="4" w:space="0" w:color="auto"/>
            </w:tcBorders>
            <w:noWrap/>
            <w:hideMark/>
          </w:tcPr>
          <w:p w14:paraId="348D160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1806</w:t>
            </w:r>
          </w:p>
        </w:tc>
        <w:tc>
          <w:tcPr>
            <w:tcW w:w="1064" w:type="dxa"/>
            <w:tcBorders>
              <w:top w:val="single" w:sz="4" w:space="0" w:color="auto"/>
              <w:left w:val="single" w:sz="4" w:space="0" w:color="auto"/>
              <w:bottom w:val="single" w:sz="4" w:space="0" w:color="auto"/>
              <w:right w:val="single" w:sz="4" w:space="0" w:color="auto"/>
            </w:tcBorders>
            <w:noWrap/>
            <w:hideMark/>
          </w:tcPr>
          <w:p w14:paraId="2392F63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154</w:t>
            </w:r>
          </w:p>
        </w:tc>
        <w:tc>
          <w:tcPr>
            <w:tcW w:w="910" w:type="dxa"/>
            <w:tcBorders>
              <w:top w:val="single" w:sz="4" w:space="0" w:color="auto"/>
              <w:left w:val="single" w:sz="4" w:space="0" w:color="auto"/>
              <w:bottom w:val="single" w:sz="4" w:space="0" w:color="auto"/>
              <w:right w:val="single" w:sz="4" w:space="0" w:color="auto"/>
            </w:tcBorders>
            <w:noWrap/>
            <w:hideMark/>
          </w:tcPr>
          <w:p w14:paraId="57FC767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389</w:t>
            </w:r>
          </w:p>
        </w:tc>
        <w:tc>
          <w:tcPr>
            <w:tcW w:w="810" w:type="dxa"/>
            <w:tcBorders>
              <w:top w:val="single" w:sz="4" w:space="0" w:color="auto"/>
              <w:left w:val="single" w:sz="4" w:space="0" w:color="auto"/>
              <w:bottom w:val="single" w:sz="4" w:space="0" w:color="auto"/>
              <w:right w:val="single" w:sz="4" w:space="0" w:color="auto"/>
            </w:tcBorders>
            <w:noWrap/>
            <w:hideMark/>
          </w:tcPr>
          <w:p w14:paraId="0B5AA9C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133</w:t>
            </w:r>
          </w:p>
        </w:tc>
        <w:tc>
          <w:tcPr>
            <w:tcW w:w="1103" w:type="dxa"/>
            <w:tcBorders>
              <w:top w:val="single" w:sz="4" w:space="0" w:color="auto"/>
              <w:left w:val="single" w:sz="4" w:space="0" w:color="auto"/>
              <w:bottom w:val="single" w:sz="4" w:space="0" w:color="auto"/>
              <w:right w:val="single" w:sz="4" w:space="0" w:color="auto"/>
            </w:tcBorders>
            <w:noWrap/>
            <w:hideMark/>
          </w:tcPr>
          <w:p w14:paraId="3030D1C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522</w:t>
            </w:r>
          </w:p>
        </w:tc>
      </w:tr>
      <w:tr w:rsidR="005842E4" w14:paraId="7E03F1BD"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17BF8F7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Northern Borders</w:t>
            </w:r>
          </w:p>
        </w:tc>
        <w:tc>
          <w:tcPr>
            <w:tcW w:w="1311" w:type="dxa"/>
            <w:tcBorders>
              <w:top w:val="single" w:sz="4" w:space="0" w:color="auto"/>
              <w:left w:val="single" w:sz="4" w:space="0" w:color="auto"/>
              <w:bottom w:val="single" w:sz="4" w:space="0" w:color="auto"/>
              <w:right w:val="single" w:sz="4" w:space="0" w:color="auto"/>
            </w:tcBorders>
            <w:noWrap/>
            <w:hideMark/>
          </w:tcPr>
          <w:p w14:paraId="2AEF9A94"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375,310</w:t>
            </w:r>
          </w:p>
        </w:tc>
        <w:tc>
          <w:tcPr>
            <w:tcW w:w="1103" w:type="dxa"/>
            <w:tcBorders>
              <w:top w:val="single" w:sz="4" w:space="0" w:color="auto"/>
              <w:left w:val="single" w:sz="4" w:space="0" w:color="auto"/>
              <w:bottom w:val="single" w:sz="4" w:space="0" w:color="auto"/>
              <w:right w:val="single" w:sz="4" w:space="0" w:color="auto"/>
            </w:tcBorders>
            <w:noWrap/>
            <w:hideMark/>
          </w:tcPr>
          <w:p w14:paraId="4509EB2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w:t>
            </w:r>
          </w:p>
        </w:tc>
        <w:tc>
          <w:tcPr>
            <w:tcW w:w="810" w:type="dxa"/>
            <w:tcBorders>
              <w:top w:val="single" w:sz="4" w:space="0" w:color="auto"/>
              <w:left w:val="single" w:sz="4" w:space="0" w:color="auto"/>
              <w:bottom w:val="single" w:sz="4" w:space="0" w:color="auto"/>
              <w:right w:val="single" w:sz="4" w:space="0" w:color="auto"/>
            </w:tcBorders>
            <w:noWrap/>
            <w:hideMark/>
          </w:tcPr>
          <w:p w14:paraId="288EB9F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1360</w:t>
            </w:r>
          </w:p>
        </w:tc>
        <w:tc>
          <w:tcPr>
            <w:tcW w:w="961" w:type="dxa"/>
            <w:tcBorders>
              <w:top w:val="single" w:sz="4" w:space="0" w:color="auto"/>
              <w:left w:val="single" w:sz="4" w:space="0" w:color="auto"/>
              <w:bottom w:val="single" w:sz="4" w:space="0" w:color="auto"/>
              <w:right w:val="single" w:sz="4" w:space="0" w:color="auto"/>
            </w:tcBorders>
            <w:noWrap/>
            <w:hideMark/>
          </w:tcPr>
          <w:p w14:paraId="068021A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1196</w:t>
            </w:r>
          </w:p>
        </w:tc>
        <w:tc>
          <w:tcPr>
            <w:tcW w:w="1064" w:type="dxa"/>
            <w:tcBorders>
              <w:top w:val="single" w:sz="4" w:space="0" w:color="auto"/>
              <w:left w:val="single" w:sz="4" w:space="0" w:color="auto"/>
              <w:bottom w:val="single" w:sz="4" w:space="0" w:color="auto"/>
              <w:right w:val="single" w:sz="4" w:space="0" w:color="auto"/>
            </w:tcBorders>
            <w:noWrap/>
            <w:hideMark/>
          </w:tcPr>
          <w:p w14:paraId="7C98BC7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164</w:t>
            </w:r>
          </w:p>
        </w:tc>
        <w:tc>
          <w:tcPr>
            <w:tcW w:w="910" w:type="dxa"/>
            <w:tcBorders>
              <w:top w:val="single" w:sz="4" w:space="0" w:color="auto"/>
              <w:left w:val="single" w:sz="4" w:space="0" w:color="auto"/>
              <w:bottom w:val="single" w:sz="4" w:space="0" w:color="auto"/>
              <w:right w:val="single" w:sz="4" w:space="0" w:color="auto"/>
            </w:tcBorders>
            <w:noWrap/>
            <w:hideMark/>
          </w:tcPr>
          <w:p w14:paraId="0A84150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257</w:t>
            </w:r>
          </w:p>
        </w:tc>
        <w:tc>
          <w:tcPr>
            <w:tcW w:w="810" w:type="dxa"/>
            <w:tcBorders>
              <w:top w:val="single" w:sz="4" w:space="0" w:color="auto"/>
              <w:left w:val="single" w:sz="4" w:space="0" w:color="auto"/>
              <w:bottom w:val="single" w:sz="4" w:space="0" w:color="auto"/>
              <w:right w:val="single" w:sz="4" w:space="0" w:color="auto"/>
            </w:tcBorders>
            <w:noWrap/>
            <w:hideMark/>
          </w:tcPr>
          <w:p w14:paraId="08276CB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141</w:t>
            </w:r>
          </w:p>
        </w:tc>
        <w:tc>
          <w:tcPr>
            <w:tcW w:w="1103" w:type="dxa"/>
            <w:tcBorders>
              <w:top w:val="single" w:sz="4" w:space="0" w:color="auto"/>
              <w:left w:val="single" w:sz="4" w:space="0" w:color="auto"/>
              <w:bottom w:val="single" w:sz="4" w:space="0" w:color="auto"/>
              <w:right w:val="single" w:sz="4" w:space="0" w:color="auto"/>
            </w:tcBorders>
            <w:noWrap/>
            <w:hideMark/>
          </w:tcPr>
          <w:p w14:paraId="6B823A5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398</w:t>
            </w:r>
          </w:p>
        </w:tc>
      </w:tr>
      <w:tr w:rsidR="005842E4" w14:paraId="456C7C81"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785DE867"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Jizan</w:t>
            </w:r>
          </w:p>
        </w:tc>
        <w:tc>
          <w:tcPr>
            <w:tcW w:w="1311" w:type="dxa"/>
            <w:tcBorders>
              <w:top w:val="single" w:sz="4" w:space="0" w:color="auto"/>
              <w:left w:val="single" w:sz="4" w:space="0" w:color="auto"/>
              <w:bottom w:val="single" w:sz="4" w:space="0" w:color="auto"/>
              <w:right w:val="single" w:sz="4" w:space="0" w:color="auto"/>
            </w:tcBorders>
            <w:noWrap/>
            <w:hideMark/>
          </w:tcPr>
          <w:p w14:paraId="45A9A44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1,603,659</w:t>
            </w:r>
          </w:p>
        </w:tc>
        <w:tc>
          <w:tcPr>
            <w:tcW w:w="1103" w:type="dxa"/>
            <w:tcBorders>
              <w:top w:val="single" w:sz="4" w:space="0" w:color="auto"/>
              <w:left w:val="single" w:sz="4" w:space="0" w:color="auto"/>
              <w:bottom w:val="single" w:sz="4" w:space="0" w:color="auto"/>
              <w:right w:val="single" w:sz="4" w:space="0" w:color="auto"/>
            </w:tcBorders>
            <w:noWrap/>
            <w:hideMark/>
          </w:tcPr>
          <w:p w14:paraId="181081E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w:t>
            </w:r>
          </w:p>
        </w:tc>
        <w:tc>
          <w:tcPr>
            <w:tcW w:w="810" w:type="dxa"/>
            <w:tcBorders>
              <w:top w:val="single" w:sz="4" w:space="0" w:color="auto"/>
              <w:left w:val="single" w:sz="4" w:space="0" w:color="auto"/>
              <w:bottom w:val="single" w:sz="4" w:space="0" w:color="auto"/>
              <w:right w:val="single" w:sz="4" w:space="0" w:color="auto"/>
            </w:tcBorders>
            <w:noWrap/>
            <w:hideMark/>
          </w:tcPr>
          <w:p w14:paraId="4C5343C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2513</w:t>
            </w:r>
          </w:p>
        </w:tc>
        <w:tc>
          <w:tcPr>
            <w:tcW w:w="961" w:type="dxa"/>
            <w:tcBorders>
              <w:top w:val="single" w:sz="4" w:space="0" w:color="auto"/>
              <w:left w:val="single" w:sz="4" w:space="0" w:color="auto"/>
              <w:bottom w:val="single" w:sz="4" w:space="0" w:color="auto"/>
              <w:right w:val="single" w:sz="4" w:space="0" w:color="auto"/>
            </w:tcBorders>
            <w:noWrap/>
            <w:hideMark/>
          </w:tcPr>
          <w:p w14:paraId="315C9F4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2297</w:t>
            </w:r>
          </w:p>
        </w:tc>
        <w:tc>
          <w:tcPr>
            <w:tcW w:w="1064" w:type="dxa"/>
            <w:tcBorders>
              <w:top w:val="single" w:sz="4" w:space="0" w:color="auto"/>
              <w:left w:val="single" w:sz="4" w:space="0" w:color="auto"/>
              <w:bottom w:val="single" w:sz="4" w:space="0" w:color="auto"/>
              <w:right w:val="single" w:sz="4" w:space="0" w:color="auto"/>
            </w:tcBorders>
            <w:noWrap/>
            <w:hideMark/>
          </w:tcPr>
          <w:p w14:paraId="4957738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216</w:t>
            </w:r>
          </w:p>
        </w:tc>
        <w:tc>
          <w:tcPr>
            <w:tcW w:w="910" w:type="dxa"/>
            <w:tcBorders>
              <w:top w:val="single" w:sz="4" w:space="0" w:color="auto"/>
              <w:left w:val="single" w:sz="4" w:space="0" w:color="auto"/>
              <w:bottom w:val="single" w:sz="4" w:space="0" w:color="auto"/>
              <w:right w:val="single" w:sz="4" w:space="0" w:color="auto"/>
            </w:tcBorders>
            <w:noWrap/>
            <w:hideMark/>
          </w:tcPr>
          <w:p w14:paraId="3AF720B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494</w:t>
            </w:r>
          </w:p>
        </w:tc>
        <w:tc>
          <w:tcPr>
            <w:tcW w:w="810" w:type="dxa"/>
            <w:tcBorders>
              <w:top w:val="single" w:sz="4" w:space="0" w:color="auto"/>
              <w:left w:val="single" w:sz="4" w:space="0" w:color="auto"/>
              <w:bottom w:val="single" w:sz="4" w:space="0" w:color="auto"/>
              <w:right w:val="single" w:sz="4" w:space="0" w:color="auto"/>
            </w:tcBorders>
            <w:noWrap/>
            <w:hideMark/>
          </w:tcPr>
          <w:p w14:paraId="35AEC1D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186</w:t>
            </w:r>
          </w:p>
        </w:tc>
        <w:tc>
          <w:tcPr>
            <w:tcW w:w="1103" w:type="dxa"/>
            <w:tcBorders>
              <w:top w:val="single" w:sz="4" w:space="0" w:color="auto"/>
              <w:left w:val="single" w:sz="4" w:space="0" w:color="auto"/>
              <w:bottom w:val="single" w:sz="4" w:space="0" w:color="auto"/>
              <w:right w:val="single" w:sz="4" w:space="0" w:color="auto"/>
            </w:tcBorders>
            <w:noWrap/>
            <w:hideMark/>
          </w:tcPr>
          <w:p w14:paraId="0C4EC87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680</w:t>
            </w:r>
          </w:p>
        </w:tc>
      </w:tr>
      <w:tr w:rsidR="005842E4" w14:paraId="73063210"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6DF13874"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Jawf</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5A0FA0F1"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347,494</w:t>
            </w:r>
          </w:p>
        </w:tc>
        <w:tc>
          <w:tcPr>
            <w:tcW w:w="1103" w:type="dxa"/>
            <w:tcBorders>
              <w:top w:val="single" w:sz="4" w:space="0" w:color="auto"/>
              <w:left w:val="single" w:sz="4" w:space="0" w:color="auto"/>
              <w:bottom w:val="single" w:sz="4" w:space="0" w:color="auto"/>
              <w:right w:val="single" w:sz="4" w:space="0" w:color="auto"/>
            </w:tcBorders>
            <w:noWrap/>
            <w:hideMark/>
          </w:tcPr>
          <w:p w14:paraId="249E1F7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9</w:t>
            </w:r>
          </w:p>
        </w:tc>
        <w:tc>
          <w:tcPr>
            <w:tcW w:w="810" w:type="dxa"/>
            <w:tcBorders>
              <w:top w:val="single" w:sz="4" w:space="0" w:color="auto"/>
              <w:left w:val="single" w:sz="4" w:space="0" w:color="auto"/>
              <w:bottom w:val="single" w:sz="4" w:space="0" w:color="auto"/>
              <w:right w:val="single" w:sz="4" w:space="0" w:color="auto"/>
            </w:tcBorders>
            <w:noWrap/>
            <w:hideMark/>
          </w:tcPr>
          <w:p w14:paraId="612A9B0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1330</w:t>
            </w:r>
          </w:p>
        </w:tc>
        <w:tc>
          <w:tcPr>
            <w:tcW w:w="961" w:type="dxa"/>
            <w:tcBorders>
              <w:top w:val="single" w:sz="4" w:space="0" w:color="auto"/>
              <w:left w:val="single" w:sz="4" w:space="0" w:color="auto"/>
              <w:bottom w:val="single" w:sz="4" w:space="0" w:color="auto"/>
              <w:right w:val="single" w:sz="4" w:space="0" w:color="auto"/>
            </w:tcBorders>
            <w:noWrap/>
            <w:hideMark/>
          </w:tcPr>
          <w:p w14:paraId="3A8A6A9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1089</w:t>
            </w:r>
          </w:p>
        </w:tc>
        <w:tc>
          <w:tcPr>
            <w:tcW w:w="1064" w:type="dxa"/>
            <w:tcBorders>
              <w:top w:val="single" w:sz="4" w:space="0" w:color="auto"/>
              <w:left w:val="single" w:sz="4" w:space="0" w:color="auto"/>
              <w:bottom w:val="single" w:sz="4" w:space="0" w:color="auto"/>
              <w:right w:val="single" w:sz="4" w:space="0" w:color="auto"/>
            </w:tcBorders>
            <w:noWrap/>
            <w:hideMark/>
          </w:tcPr>
          <w:p w14:paraId="6B27A67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241</w:t>
            </w:r>
          </w:p>
        </w:tc>
        <w:tc>
          <w:tcPr>
            <w:tcW w:w="910" w:type="dxa"/>
            <w:tcBorders>
              <w:top w:val="single" w:sz="4" w:space="0" w:color="auto"/>
              <w:left w:val="single" w:sz="4" w:space="0" w:color="auto"/>
              <w:bottom w:val="single" w:sz="4" w:space="0" w:color="auto"/>
              <w:right w:val="single" w:sz="4" w:space="0" w:color="auto"/>
            </w:tcBorders>
            <w:noWrap/>
            <w:hideMark/>
          </w:tcPr>
          <w:p w14:paraId="6B297F3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234</w:t>
            </w:r>
          </w:p>
        </w:tc>
        <w:tc>
          <w:tcPr>
            <w:tcW w:w="810" w:type="dxa"/>
            <w:tcBorders>
              <w:top w:val="single" w:sz="4" w:space="0" w:color="auto"/>
              <w:left w:val="single" w:sz="4" w:space="0" w:color="auto"/>
              <w:bottom w:val="single" w:sz="4" w:space="0" w:color="auto"/>
              <w:right w:val="single" w:sz="4" w:space="0" w:color="auto"/>
            </w:tcBorders>
            <w:noWrap/>
            <w:hideMark/>
          </w:tcPr>
          <w:p w14:paraId="3201468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208</w:t>
            </w:r>
          </w:p>
        </w:tc>
        <w:tc>
          <w:tcPr>
            <w:tcW w:w="1103" w:type="dxa"/>
            <w:tcBorders>
              <w:top w:val="single" w:sz="4" w:space="0" w:color="auto"/>
              <w:left w:val="single" w:sz="4" w:space="0" w:color="auto"/>
              <w:bottom w:val="single" w:sz="4" w:space="0" w:color="auto"/>
              <w:right w:val="single" w:sz="4" w:space="0" w:color="auto"/>
            </w:tcBorders>
            <w:noWrap/>
            <w:hideMark/>
          </w:tcPr>
          <w:p w14:paraId="75FC81A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442</w:t>
            </w:r>
          </w:p>
        </w:tc>
      </w:tr>
      <w:tr w:rsidR="005842E4" w14:paraId="4B47E17A"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4FBB86B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Najran</w:t>
            </w:r>
          </w:p>
        </w:tc>
        <w:tc>
          <w:tcPr>
            <w:tcW w:w="1311" w:type="dxa"/>
            <w:tcBorders>
              <w:top w:val="single" w:sz="4" w:space="0" w:color="auto"/>
              <w:left w:val="single" w:sz="4" w:space="0" w:color="auto"/>
              <w:bottom w:val="single" w:sz="4" w:space="0" w:color="auto"/>
              <w:right w:val="single" w:sz="4" w:space="0" w:color="auto"/>
            </w:tcBorders>
            <w:noWrap/>
            <w:hideMark/>
          </w:tcPr>
          <w:p w14:paraId="682C4B3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595,705</w:t>
            </w:r>
          </w:p>
        </w:tc>
        <w:tc>
          <w:tcPr>
            <w:tcW w:w="1103" w:type="dxa"/>
            <w:tcBorders>
              <w:top w:val="single" w:sz="4" w:space="0" w:color="auto"/>
              <w:left w:val="single" w:sz="4" w:space="0" w:color="auto"/>
              <w:bottom w:val="single" w:sz="4" w:space="0" w:color="auto"/>
              <w:right w:val="single" w:sz="4" w:space="0" w:color="auto"/>
            </w:tcBorders>
            <w:noWrap/>
            <w:hideMark/>
          </w:tcPr>
          <w:p w14:paraId="064F297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w:t>
            </w:r>
          </w:p>
        </w:tc>
        <w:tc>
          <w:tcPr>
            <w:tcW w:w="810" w:type="dxa"/>
            <w:tcBorders>
              <w:top w:val="single" w:sz="4" w:space="0" w:color="auto"/>
              <w:left w:val="single" w:sz="4" w:space="0" w:color="auto"/>
              <w:bottom w:val="single" w:sz="4" w:space="0" w:color="auto"/>
              <w:right w:val="single" w:sz="4" w:space="0" w:color="auto"/>
            </w:tcBorders>
            <w:noWrap/>
            <w:hideMark/>
          </w:tcPr>
          <w:p w14:paraId="25F5BC6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1862</w:t>
            </w:r>
          </w:p>
        </w:tc>
        <w:tc>
          <w:tcPr>
            <w:tcW w:w="961" w:type="dxa"/>
            <w:tcBorders>
              <w:top w:val="single" w:sz="4" w:space="0" w:color="auto"/>
              <w:left w:val="single" w:sz="4" w:space="0" w:color="auto"/>
              <w:bottom w:val="single" w:sz="4" w:space="0" w:color="auto"/>
              <w:right w:val="single" w:sz="4" w:space="0" w:color="auto"/>
            </w:tcBorders>
            <w:noWrap/>
            <w:hideMark/>
          </w:tcPr>
          <w:p w14:paraId="5F4A7C6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1611</w:t>
            </w:r>
          </w:p>
        </w:tc>
        <w:tc>
          <w:tcPr>
            <w:tcW w:w="1064" w:type="dxa"/>
            <w:tcBorders>
              <w:top w:val="single" w:sz="4" w:space="0" w:color="auto"/>
              <w:left w:val="single" w:sz="4" w:space="0" w:color="auto"/>
              <w:bottom w:val="single" w:sz="4" w:space="0" w:color="auto"/>
              <w:right w:val="single" w:sz="4" w:space="0" w:color="auto"/>
            </w:tcBorders>
            <w:noWrap/>
            <w:hideMark/>
          </w:tcPr>
          <w:p w14:paraId="4793A7A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251</w:t>
            </w:r>
          </w:p>
        </w:tc>
        <w:tc>
          <w:tcPr>
            <w:tcW w:w="910" w:type="dxa"/>
            <w:tcBorders>
              <w:top w:val="single" w:sz="4" w:space="0" w:color="auto"/>
              <w:left w:val="single" w:sz="4" w:space="0" w:color="auto"/>
              <w:bottom w:val="single" w:sz="4" w:space="0" w:color="auto"/>
              <w:right w:val="single" w:sz="4" w:space="0" w:color="auto"/>
            </w:tcBorders>
            <w:noWrap/>
            <w:hideMark/>
          </w:tcPr>
          <w:p w14:paraId="06948865"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346</w:t>
            </w:r>
          </w:p>
        </w:tc>
        <w:tc>
          <w:tcPr>
            <w:tcW w:w="810" w:type="dxa"/>
            <w:tcBorders>
              <w:top w:val="single" w:sz="4" w:space="0" w:color="auto"/>
              <w:left w:val="single" w:sz="4" w:space="0" w:color="auto"/>
              <w:bottom w:val="single" w:sz="4" w:space="0" w:color="auto"/>
              <w:right w:val="single" w:sz="4" w:space="0" w:color="auto"/>
            </w:tcBorders>
            <w:noWrap/>
            <w:hideMark/>
          </w:tcPr>
          <w:p w14:paraId="0B41376D"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217</w:t>
            </w:r>
          </w:p>
        </w:tc>
        <w:tc>
          <w:tcPr>
            <w:tcW w:w="1103" w:type="dxa"/>
            <w:tcBorders>
              <w:top w:val="single" w:sz="4" w:space="0" w:color="auto"/>
              <w:left w:val="single" w:sz="4" w:space="0" w:color="auto"/>
              <w:bottom w:val="single" w:sz="4" w:space="0" w:color="auto"/>
              <w:right w:val="single" w:sz="4" w:space="0" w:color="auto"/>
            </w:tcBorders>
            <w:noWrap/>
            <w:hideMark/>
          </w:tcPr>
          <w:p w14:paraId="5FF814EE"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563</w:t>
            </w:r>
          </w:p>
        </w:tc>
      </w:tr>
      <w:tr w:rsidR="005842E4" w14:paraId="4F9EABAF" w14:textId="77777777" w:rsidTr="00BF2F0C">
        <w:trPr>
          <w:trHeight w:val="255"/>
        </w:trPr>
        <w:tc>
          <w:tcPr>
            <w:tcW w:w="1723" w:type="dxa"/>
            <w:tcBorders>
              <w:top w:val="single" w:sz="4" w:space="0" w:color="auto"/>
              <w:left w:val="single" w:sz="4" w:space="0" w:color="auto"/>
              <w:bottom w:val="single" w:sz="4" w:space="0" w:color="auto"/>
              <w:right w:val="single" w:sz="4" w:space="0" w:color="auto"/>
            </w:tcBorders>
            <w:noWrap/>
            <w:hideMark/>
          </w:tcPr>
          <w:p w14:paraId="1FA1D831" w14:textId="77777777" w:rsidR="005842E4" w:rsidRDefault="005842E4" w:rsidP="006E34BB">
            <w:pPr>
              <w:spacing w:after="0" w:line="360" w:lineRule="auto"/>
              <w:jc w:val="both"/>
              <w:rPr>
                <w:rFonts w:ascii="Times New Roman" w:eastAsiaTheme="minorEastAsia" w:hAnsi="Times New Roman" w:cs="Times New Roman"/>
                <w:sz w:val="18"/>
                <w:szCs w:val="18"/>
              </w:rPr>
            </w:pPr>
            <w:proofErr w:type="spellStart"/>
            <w:r>
              <w:rPr>
                <w:rFonts w:ascii="Times New Roman" w:eastAsiaTheme="minorEastAsia" w:hAnsi="Times New Roman" w:cs="Times New Roman"/>
                <w:sz w:val="18"/>
                <w:szCs w:val="18"/>
              </w:rPr>
              <w:t>Asir</w:t>
            </w:r>
            <w:proofErr w:type="spellEnd"/>
          </w:p>
        </w:tc>
        <w:tc>
          <w:tcPr>
            <w:tcW w:w="1311" w:type="dxa"/>
            <w:tcBorders>
              <w:top w:val="single" w:sz="4" w:space="0" w:color="auto"/>
              <w:left w:val="single" w:sz="4" w:space="0" w:color="auto"/>
              <w:bottom w:val="single" w:sz="4" w:space="0" w:color="auto"/>
              <w:right w:val="single" w:sz="4" w:space="0" w:color="auto"/>
            </w:tcBorders>
            <w:noWrap/>
            <w:hideMark/>
          </w:tcPr>
          <w:p w14:paraId="1EEFA59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1,863,362</w:t>
            </w:r>
          </w:p>
        </w:tc>
        <w:tc>
          <w:tcPr>
            <w:tcW w:w="1103" w:type="dxa"/>
            <w:tcBorders>
              <w:top w:val="single" w:sz="4" w:space="0" w:color="auto"/>
              <w:left w:val="single" w:sz="4" w:space="0" w:color="auto"/>
              <w:bottom w:val="single" w:sz="4" w:space="0" w:color="auto"/>
              <w:right w:val="single" w:sz="4" w:space="0" w:color="auto"/>
            </w:tcBorders>
            <w:noWrap/>
            <w:hideMark/>
          </w:tcPr>
          <w:p w14:paraId="6AB0913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34</w:t>
            </w:r>
          </w:p>
        </w:tc>
        <w:tc>
          <w:tcPr>
            <w:tcW w:w="810" w:type="dxa"/>
            <w:tcBorders>
              <w:top w:val="single" w:sz="4" w:space="0" w:color="auto"/>
              <w:left w:val="single" w:sz="4" w:space="0" w:color="auto"/>
              <w:bottom w:val="single" w:sz="4" w:space="0" w:color="auto"/>
              <w:right w:val="single" w:sz="4" w:space="0" w:color="auto"/>
            </w:tcBorders>
            <w:noWrap/>
            <w:hideMark/>
          </w:tcPr>
          <w:p w14:paraId="12C07C8C"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3982</w:t>
            </w:r>
          </w:p>
        </w:tc>
        <w:tc>
          <w:tcPr>
            <w:tcW w:w="961" w:type="dxa"/>
            <w:tcBorders>
              <w:top w:val="single" w:sz="4" w:space="0" w:color="auto"/>
              <w:left w:val="single" w:sz="4" w:space="0" w:color="auto"/>
              <w:bottom w:val="single" w:sz="4" w:space="0" w:color="auto"/>
              <w:right w:val="single" w:sz="4" w:space="0" w:color="auto"/>
            </w:tcBorders>
            <w:noWrap/>
            <w:hideMark/>
          </w:tcPr>
          <w:p w14:paraId="7D76C0D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3516</w:t>
            </w:r>
          </w:p>
        </w:tc>
        <w:tc>
          <w:tcPr>
            <w:tcW w:w="1064" w:type="dxa"/>
            <w:tcBorders>
              <w:top w:val="single" w:sz="4" w:space="0" w:color="auto"/>
              <w:left w:val="single" w:sz="4" w:space="0" w:color="auto"/>
              <w:bottom w:val="single" w:sz="4" w:space="0" w:color="auto"/>
              <w:right w:val="single" w:sz="4" w:space="0" w:color="auto"/>
            </w:tcBorders>
            <w:noWrap/>
            <w:hideMark/>
          </w:tcPr>
          <w:p w14:paraId="4FD15BA9"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466</w:t>
            </w:r>
          </w:p>
        </w:tc>
        <w:tc>
          <w:tcPr>
            <w:tcW w:w="910" w:type="dxa"/>
            <w:tcBorders>
              <w:top w:val="single" w:sz="4" w:space="0" w:color="auto"/>
              <w:left w:val="single" w:sz="4" w:space="0" w:color="auto"/>
              <w:bottom w:val="single" w:sz="4" w:space="0" w:color="auto"/>
              <w:right w:val="single" w:sz="4" w:space="0" w:color="auto"/>
            </w:tcBorders>
            <w:noWrap/>
            <w:hideMark/>
          </w:tcPr>
          <w:p w14:paraId="2DB654F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757</w:t>
            </w:r>
          </w:p>
        </w:tc>
        <w:tc>
          <w:tcPr>
            <w:tcW w:w="810" w:type="dxa"/>
            <w:tcBorders>
              <w:top w:val="single" w:sz="4" w:space="0" w:color="auto"/>
              <w:left w:val="single" w:sz="4" w:space="0" w:color="auto"/>
              <w:bottom w:val="single" w:sz="4" w:space="0" w:color="auto"/>
              <w:right w:val="single" w:sz="4" w:space="0" w:color="auto"/>
            </w:tcBorders>
            <w:noWrap/>
            <w:hideMark/>
          </w:tcPr>
          <w:p w14:paraId="46E630CB"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402</w:t>
            </w:r>
          </w:p>
        </w:tc>
        <w:tc>
          <w:tcPr>
            <w:tcW w:w="1103" w:type="dxa"/>
            <w:tcBorders>
              <w:top w:val="single" w:sz="4" w:space="0" w:color="auto"/>
              <w:left w:val="single" w:sz="4" w:space="0" w:color="auto"/>
              <w:bottom w:val="single" w:sz="4" w:space="0" w:color="auto"/>
              <w:right w:val="single" w:sz="4" w:space="0" w:color="auto"/>
            </w:tcBorders>
            <w:noWrap/>
            <w:hideMark/>
          </w:tcPr>
          <w:p w14:paraId="07EAA3E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1159</w:t>
            </w:r>
          </w:p>
        </w:tc>
      </w:tr>
      <w:tr w:rsidR="005842E4" w14:paraId="5F5E62F7" w14:textId="77777777" w:rsidTr="00BF2F0C">
        <w:trPr>
          <w:trHeight w:val="270"/>
        </w:trPr>
        <w:tc>
          <w:tcPr>
            <w:tcW w:w="1723" w:type="dxa"/>
            <w:tcBorders>
              <w:top w:val="single" w:sz="4" w:space="0" w:color="auto"/>
              <w:left w:val="single" w:sz="4" w:space="0" w:color="auto"/>
              <w:bottom w:val="single" w:sz="4" w:space="0" w:color="auto"/>
              <w:right w:val="single" w:sz="4" w:space="0" w:color="auto"/>
            </w:tcBorders>
            <w:noWrap/>
            <w:hideMark/>
          </w:tcPr>
          <w:p w14:paraId="152D3F74" w14:textId="77777777" w:rsidR="005842E4" w:rsidRDefault="005842E4" w:rsidP="006E34BB">
            <w:pPr>
              <w:spacing w:after="0" w:line="360" w:lineRule="auto"/>
              <w:jc w:val="both"/>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TOTAL</w:t>
            </w:r>
          </w:p>
        </w:tc>
        <w:tc>
          <w:tcPr>
            <w:tcW w:w="1311" w:type="dxa"/>
            <w:tcBorders>
              <w:top w:val="single" w:sz="4" w:space="0" w:color="auto"/>
              <w:left w:val="single" w:sz="4" w:space="0" w:color="auto"/>
              <w:bottom w:val="single" w:sz="4" w:space="0" w:color="auto"/>
              <w:right w:val="single" w:sz="4" w:space="0" w:color="auto"/>
            </w:tcBorders>
            <w:noWrap/>
            <w:hideMark/>
          </w:tcPr>
          <w:p w14:paraId="03E807AE" w14:textId="77777777" w:rsidR="005842E4" w:rsidRDefault="005842E4" w:rsidP="006E34BB">
            <w:pPr>
              <w:spacing w:after="0" w:line="360" w:lineRule="auto"/>
              <w:jc w:val="both"/>
              <w:rPr>
                <w:rFonts w:ascii="Times New Roman" w:eastAsiaTheme="minorEastAsia" w:hAnsi="Times New Roman" w:cs="Times New Roman"/>
                <w:bCs/>
                <w:sz w:val="18"/>
                <w:szCs w:val="18"/>
              </w:rPr>
            </w:pPr>
            <w:r>
              <w:rPr>
                <w:rFonts w:ascii="Times New Roman" w:eastAsiaTheme="minorEastAsia" w:hAnsi="Times New Roman" w:cs="Times New Roman"/>
                <w:bCs/>
                <w:sz w:val="18"/>
                <w:szCs w:val="18"/>
              </w:rPr>
              <w:t>33413660</w:t>
            </w:r>
          </w:p>
        </w:tc>
        <w:tc>
          <w:tcPr>
            <w:tcW w:w="1103" w:type="dxa"/>
            <w:tcBorders>
              <w:top w:val="single" w:sz="4" w:space="0" w:color="auto"/>
              <w:left w:val="single" w:sz="4" w:space="0" w:color="auto"/>
              <w:bottom w:val="single" w:sz="4" w:space="0" w:color="auto"/>
              <w:right w:val="single" w:sz="4" w:space="0" w:color="auto"/>
            </w:tcBorders>
            <w:noWrap/>
            <w:hideMark/>
          </w:tcPr>
          <w:p w14:paraId="777B5D1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494</w:t>
            </w:r>
          </w:p>
        </w:tc>
        <w:tc>
          <w:tcPr>
            <w:tcW w:w="810" w:type="dxa"/>
            <w:tcBorders>
              <w:top w:val="single" w:sz="4" w:space="0" w:color="auto"/>
              <w:left w:val="single" w:sz="4" w:space="0" w:color="auto"/>
              <w:bottom w:val="single" w:sz="4" w:space="0" w:color="auto"/>
              <w:right w:val="single" w:sz="4" w:space="0" w:color="auto"/>
            </w:tcBorders>
            <w:noWrap/>
            <w:hideMark/>
          </w:tcPr>
          <w:p w14:paraId="52AE8AF3"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75225</w:t>
            </w:r>
          </w:p>
        </w:tc>
        <w:tc>
          <w:tcPr>
            <w:tcW w:w="961" w:type="dxa"/>
            <w:tcBorders>
              <w:top w:val="single" w:sz="4" w:space="0" w:color="auto"/>
              <w:left w:val="single" w:sz="4" w:space="0" w:color="auto"/>
              <w:bottom w:val="single" w:sz="4" w:space="0" w:color="auto"/>
              <w:right w:val="single" w:sz="4" w:space="0" w:color="auto"/>
            </w:tcBorders>
            <w:noWrap/>
            <w:hideMark/>
          </w:tcPr>
          <w:p w14:paraId="0D157F98"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66748</w:t>
            </w:r>
          </w:p>
        </w:tc>
        <w:tc>
          <w:tcPr>
            <w:tcW w:w="1064" w:type="dxa"/>
            <w:tcBorders>
              <w:top w:val="single" w:sz="4" w:space="0" w:color="auto"/>
              <w:left w:val="single" w:sz="4" w:space="0" w:color="auto"/>
              <w:bottom w:val="single" w:sz="4" w:space="0" w:color="auto"/>
              <w:right w:val="single" w:sz="4" w:space="0" w:color="auto"/>
            </w:tcBorders>
            <w:noWrap/>
            <w:hideMark/>
          </w:tcPr>
          <w:p w14:paraId="0CCCB29A"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8477</w:t>
            </w:r>
          </w:p>
        </w:tc>
        <w:tc>
          <w:tcPr>
            <w:tcW w:w="910" w:type="dxa"/>
            <w:tcBorders>
              <w:top w:val="single" w:sz="4" w:space="0" w:color="auto"/>
              <w:left w:val="single" w:sz="4" w:space="0" w:color="auto"/>
              <w:bottom w:val="single" w:sz="4" w:space="0" w:color="auto"/>
              <w:right w:val="single" w:sz="4" w:space="0" w:color="auto"/>
            </w:tcBorders>
            <w:noWrap/>
            <w:hideMark/>
          </w:tcPr>
          <w:p w14:paraId="23EC8342"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14366</w:t>
            </w:r>
          </w:p>
        </w:tc>
        <w:tc>
          <w:tcPr>
            <w:tcW w:w="810" w:type="dxa"/>
            <w:tcBorders>
              <w:top w:val="single" w:sz="4" w:space="0" w:color="auto"/>
              <w:left w:val="single" w:sz="4" w:space="0" w:color="auto"/>
              <w:bottom w:val="single" w:sz="4" w:space="0" w:color="auto"/>
              <w:right w:val="single" w:sz="4" w:space="0" w:color="auto"/>
            </w:tcBorders>
            <w:noWrap/>
            <w:hideMark/>
          </w:tcPr>
          <w:p w14:paraId="43742F20"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7300</w:t>
            </w:r>
          </w:p>
        </w:tc>
        <w:tc>
          <w:tcPr>
            <w:tcW w:w="1103" w:type="dxa"/>
            <w:tcBorders>
              <w:top w:val="single" w:sz="4" w:space="0" w:color="auto"/>
              <w:left w:val="single" w:sz="4" w:space="0" w:color="auto"/>
              <w:bottom w:val="single" w:sz="4" w:space="0" w:color="auto"/>
              <w:right w:val="single" w:sz="4" w:space="0" w:color="auto"/>
            </w:tcBorders>
            <w:noWrap/>
            <w:hideMark/>
          </w:tcPr>
          <w:p w14:paraId="5B40C8A6" w14:textId="77777777" w:rsidR="005842E4" w:rsidRDefault="005842E4" w:rsidP="006E34BB">
            <w:pPr>
              <w:spacing w:after="0" w:line="360" w:lineRule="auto"/>
              <w:jc w:val="both"/>
              <w:rPr>
                <w:rFonts w:ascii="Times New Roman" w:eastAsiaTheme="minorEastAsia" w:hAnsi="Times New Roman" w:cs="Times New Roman"/>
                <w:sz w:val="18"/>
                <w:szCs w:val="18"/>
              </w:rPr>
            </w:pPr>
            <w:r>
              <w:rPr>
                <w:rFonts w:ascii="Times New Roman" w:eastAsiaTheme="minorEastAsia" w:hAnsi="Times New Roman" w:cs="Times New Roman"/>
                <w:sz w:val="18"/>
                <w:szCs w:val="18"/>
              </w:rPr>
              <w:t>21666</w:t>
            </w:r>
          </w:p>
        </w:tc>
      </w:tr>
    </w:tbl>
    <w:p w14:paraId="430795B1"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fldChar w:fldCharType="end"/>
      </w:r>
      <w:r>
        <w:rPr>
          <w:rFonts w:ascii="Times New Roman" w:eastAsiaTheme="minorEastAsia" w:hAnsi="Times New Roman" w:cs="Times New Roman"/>
          <w:sz w:val="24"/>
          <w:szCs w:val="24"/>
        </w:rPr>
        <w:br w:type="textWrapping" w:clear="all"/>
      </w:r>
      <w:r>
        <w:rPr>
          <w:rFonts w:ascii="Times New Roman" w:eastAsiaTheme="minorEastAsia" w:hAnsi="Times New Roman" w:cs="Times New Roman"/>
          <w:sz w:val="24"/>
          <w:szCs w:val="24"/>
        </w:rPr>
        <w:tab/>
        <w:t xml:space="preserve">According the summary of the estimated number of RTs needed in Saudi Arabia, most RTs are needed in the MOH hospitals (12,831 RTs across the MOH hospitals in KSA), followed by the private health care facilities in KSA that need an estimate 5,146 RTs, and non-MOH hospitals that that have the lowest estimated need for RTs at 3,689 RTs needed nationally. The number of RTs required depend on the availability of MOH, non-MOH, and private hospitals in the 20 medical administrative regions of Saudi Arabia. </w:t>
      </w:r>
    </w:p>
    <w:p w14:paraId="150679BA" w14:textId="77777777" w:rsidR="005842E4" w:rsidRDefault="005842E4" w:rsidP="006E34BB">
      <w:pPr>
        <w:keepNext/>
        <w:spacing w:after="0" w:line="360" w:lineRule="auto"/>
        <w:jc w:val="both"/>
      </w:pPr>
      <w:r>
        <w:rPr>
          <w:noProof/>
        </w:rPr>
        <w:drawing>
          <wp:inline distT="0" distB="0" distL="0" distR="0" wp14:anchorId="44640D16" wp14:editId="4D56D1B8">
            <wp:extent cx="3757295" cy="2489835"/>
            <wp:effectExtent l="0" t="0" r="14605" b="1206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478808E" w14:textId="77777777" w:rsidR="005842E4" w:rsidRDefault="005842E4" w:rsidP="006E34BB">
      <w:pPr>
        <w:pStyle w:val="Caption"/>
        <w:spacing w:line="360" w:lineRule="auto"/>
        <w:jc w:val="both"/>
        <w:rPr>
          <w:rFonts w:ascii="Times New Roman" w:eastAsiaTheme="minorEastAsia" w:hAnsi="Times New Roman" w:cs="Times New Roman"/>
          <w:sz w:val="24"/>
          <w:szCs w:val="24"/>
        </w:rPr>
      </w:pPr>
      <w:r>
        <w:t xml:space="preserve">Figure </w:t>
      </w:r>
      <w:r>
        <w:fldChar w:fldCharType="begin"/>
      </w:r>
      <w:r>
        <w:instrText xml:space="preserve"> SEQ Figure \* ARABIC </w:instrText>
      </w:r>
      <w:r>
        <w:fldChar w:fldCharType="separate"/>
      </w:r>
      <w:r>
        <w:rPr>
          <w:noProof/>
        </w:rPr>
        <w:t>1</w:t>
      </w:r>
      <w:r>
        <w:rPr>
          <w:noProof/>
        </w:rPr>
        <w:fldChar w:fldCharType="end"/>
      </w:r>
      <w:r>
        <w:t>: RTs needed in Private, MOH, and non-MOH Hospitals</w:t>
      </w:r>
    </w:p>
    <w:p w14:paraId="0DE892F8"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 regions that need the least estimate for RTs in KSA are </w:t>
      </w:r>
      <w:proofErr w:type="spellStart"/>
      <w:r>
        <w:rPr>
          <w:rFonts w:ascii="Times New Roman" w:eastAsiaTheme="minorEastAsia" w:hAnsi="Times New Roman" w:cs="Times New Roman"/>
          <w:sz w:val="24"/>
          <w:szCs w:val="24"/>
        </w:rPr>
        <w:t>Qurayyat</w:t>
      </w:r>
      <w:proofErr w:type="spellEnd"/>
      <w:r>
        <w:rPr>
          <w:rFonts w:ascii="Times New Roman" w:eastAsiaTheme="minorEastAsia" w:hAnsi="Times New Roman" w:cs="Times New Roman"/>
          <w:sz w:val="24"/>
          <w:szCs w:val="24"/>
        </w:rPr>
        <w:t xml:space="preserve"> and </w:t>
      </w:r>
      <w:proofErr w:type="spellStart"/>
      <w:r>
        <w:rPr>
          <w:rFonts w:ascii="Times New Roman" w:eastAsiaTheme="minorEastAsia" w:hAnsi="Times New Roman" w:cs="Times New Roman"/>
          <w:sz w:val="24"/>
          <w:szCs w:val="24"/>
        </w:rPr>
        <w:t>Qunfudah</w:t>
      </w:r>
      <w:proofErr w:type="spellEnd"/>
      <w:r>
        <w:rPr>
          <w:rFonts w:ascii="Times New Roman" w:eastAsiaTheme="minorEastAsia" w:hAnsi="Times New Roman" w:cs="Times New Roman"/>
          <w:sz w:val="24"/>
          <w:szCs w:val="24"/>
        </w:rPr>
        <w:t xml:space="preserve">, requiring an estimated 141 and 126 RTs (Table 4), respectively. Riyadh, Jeddah, and Eastern regions need the highest number of RTs estimated using the Telford Model, placing the estimates at 5,436, 2,568, and 2,574 RTs, respectively. </w:t>
      </w:r>
    </w:p>
    <w:p w14:paraId="2E5ADD3B" w14:textId="77777777" w:rsidR="005842E4" w:rsidRDefault="005842E4" w:rsidP="006E34BB">
      <w:pPr>
        <w:keepNext/>
        <w:spacing w:after="0" w:line="360" w:lineRule="auto"/>
        <w:jc w:val="both"/>
      </w:pPr>
      <w:r>
        <w:rPr>
          <w:noProof/>
        </w:rPr>
        <w:drawing>
          <wp:inline distT="0" distB="0" distL="0" distR="0" wp14:anchorId="16B859B0" wp14:editId="3955603F">
            <wp:extent cx="4580890" cy="2752090"/>
            <wp:effectExtent l="0" t="0" r="16510" b="1651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EE5EF8E" w14:textId="77777777" w:rsidR="005842E4" w:rsidRDefault="005842E4" w:rsidP="006E34BB">
      <w:pPr>
        <w:pStyle w:val="Caption"/>
        <w:spacing w:line="360" w:lineRule="auto"/>
        <w:jc w:val="both"/>
        <w:rPr>
          <w:rFonts w:ascii="Times New Roman" w:eastAsiaTheme="minorEastAsia" w:hAnsi="Times New Roman" w:cs="Times New Roman"/>
          <w:sz w:val="24"/>
          <w:szCs w:val="24"/>
        </w:rPr>
      </w:pPr>
      <w:r>
        <w:t xml:space="preserve">Figure </w:t>
      </w:r>
      <w:r>
        <w:fldChar w:fldCharType="begin"/>
      </w:r>
      <w:r>
        <w:instrText xml:space="preserve"> SEQ Figure \* ARABIC </w:instrText>
      </w:r>
      <w:r>
        <w:fldChar w:fldCharType="separate"/>
      </w:r>
      <w:r>
        <w:rPr>
          <w:noProof/>
        </w:rPr>
        <w:t>2</w:t>
      </w:r>
      <w:r>
        <w:rPr>
          <w:noProof/>
        </w:rPr>
        <w:fldChar w:fldCharType="end"/>
      </w:r>
      <w:r>
        <w:t>: Total RTs needed in the ICU (7,300 RTs) and RTs needed in the general floor (14,366 RTs)</w:t>
      </w:r>
    </w:p>
    <w:p w14:paraId="06241399"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The estimated distribution of RTs in KSA is associated with the population densities of the regions, the concentration of the number of hospitals, MOH, non-MOH, and private facilities, and the number of general floor and ICU beds present in these hospitals. The estimated number of RTs ensures that the respiratory care services at the facilities are provided throughout the year of prediction before the number of hospitals and beds increase in the future. The estimated number of RTs will meet the needs of respiratory care in the various health care facilities across the administrative regions of Saudi Arabia. RTs work in the regions will be complementary to the </w:t>
      </w:r>
      <w:proofErr w:type="gramStart"/>
      <w:r>
        <w:rPr>
          <w:rFonts w:ascii="Times New Roman" w:eastAsiaTheme="minorEastAsia" w:hAnsi="Times New Roman" w:cs="Times New Roman"/>
          <w:sz w:val="24"/>
          <w:szCs w:val="24"/>
        </w:rPr>
        <w:t>physicians</w:t>
      </w:r>
      <w:proofErr w:type="gramEnd"/>
      <w:r>
        <w:rPr>
          <w:rFonts w:ascii="Times New Roman" w:eastAsiaTheme="minorEastAsia" w:hAnsi="Times New Roman" w:cs="Times New Roman"/>
          <w:sz w:val="24"/>
          <w:szCs w:val="24"/>
        </w:rPr>
        <w:t xml:space="preserve"> work in several departments requiring the expertise of RTs to improve the health outcomes of the clinical efforts towards various medical interventions in KSA.  </w:t>
      </w:r>
    </w:p>
    <w:p w14:paraId="3110958C" w14:textId="77777777" w:rsidR="005842E4" w:rsidRPr="008A067E" w:rsidRDefault="005842E4" w:rsidP="008A067E">
      <w:pPr>
        <w:pStyle w:val="Heading2"/>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8" w:name="_Toc40722485"/>
      <w:r w:rsidRPr="008A067E">
        <w:rPr>
          <w:rFonts w:ascii="Times New Roman" w:eastAsiaTheme="minorEastAsia" w:hAnsi="Times New Roman" w:cs="Times New Roman"/>
          <w:b/>
          <w:bCs/>
          <w:color w:val="000000" w:themeColor="text1"/>
          <w:sz w:val="24"/>
          <w:szCs w:val="24"/>
        </w:rPr>
        <w:t>R.T.s Distribution</w:t>
      </w:r>
      <w:bookmarkEnd w:id="8"/>
    </w:p>
    <w:p w14:paraId="6445E1D7"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RTs' distribution across KSA will be determined by the population density of the regions, hospitals, and the total number of beds in the facilities. The Saudi Arabian Mission to the United States indicates that, currently, there are 1,501 RTs in KSA, out of which 1477 work in hospital settings while 24 are trainers. The health personnel distribution trends in KSA are also evident among RTs, where only 25 percent are Saudi nationals – 67 percent are from the Philippines, 6 percent are North Americans, and approximately 2 percent are from other regions across the world. Most of the RTs work in critical care units (60 percent), 22 percent are in the wards, about 7 percent are in administrative work, and the others work in equipment maintenance, diagnostics, and pulmonary management, among other areas. In terms of their educational backgrounds, 70 percent of the RTs in KSA have an undergraduate degree in respiratory care, 19.7 percent have associate degrees (diploma), 4 percent have entry-level certification in respiratory care, 1.4 percent have graduate qualifications in respiratory care.</w:t>
      </w:r>
    </w:p>
    <w:p w14:paraId="67F5E7F8" w14:textId="77777777" w:rsidR="005842E4" w:rsidRDefault="005842E4" w:rsidP="006E34BB">
      <w:pPr>
        <w:spacing w:after="0" w:line="360" w:lineRule="auto"/>
        <w:jc w:val="both"/>
        <w:rPr>
          <w:rFonts w:ascii="Times New Roman" w:eastAsiaTheme="minorEastAsia" w:hAnsi="Times New Roman" w:cs="Times New Roman"/>
          <w:sz w:val="24"/>
          <w:szCs w:val="24"/>
        </w:rPr>
      </w:pPr>
    </w:p>
    <w:p w14:paraId="5FD10064"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In comparison, 5.4 percent of the RTs have no academic training in respiratory care and have obtained their skills through respiratory care experience in health care facilities. Other nations, such as China</w:t>
      </w:r>
      <w:r>
        <w:rPr>
          <w:rStyle w:val="EndnoteReference"/>
          <w:rFonts w:ascii="Times New Roman" w:eastAsiaTheme="minorEastAsia" w:hAnsi="Times New Roman" w:cs="Times New Roman"/>
          <w:sz w:val="24"/>
          <w:szCs w:val="24"/>
        </w:rPr>
        <w:endnoteReference w:id="45"/>
      </w:r>
      <w:r>
        <w:rPr>
          <w:rFonts w:ascii="Times New Roman" w:eastAsiaTheme="minorEastAsia" w:hAnsi="Times New Roman" w:cs="Times New Roman"/>
          <w:sz w:val="24"/>
          <w:szCs w:val="24"/>
        </w:rPr>
        <w:t>, have successfully attained low RT to patient ratios within a short duration. Most (85 percent) of K.S.A. RTs have no accreditation from the National Board of Respiratory Care (NBRC), only 11 percent are registered RTs, and 4 percent are CRTs. Across the KSA provinces, there is a concentration of RTs in the central regions (50 percent), 23 percent in the Eastern part of the country, Northern region (3 percent), and the Southern region 2 percent. Accordingly, because of the RTs currently working in KSA, the respiratory care staff are not evenly (equally) distributed across the country</w:t>
      </w:r>
      <w:r>
        <w:rPr>
          <w:rStyle w:val="EndnoteReference"/>
          <w:rFonts w:ascii="Times New Roman" w:eastAsiaTheme="minorEastAsia" w:hAnsi="Times New Roman" w:cs="Times New Roman"/>
          <w:sz w:val="24"/>
          <w:szCs w:val="24"/>
        </w:rPr>
        <w:endnoteReference w:id="46"/>
      </w:r>
      <w:r>
        <w:rPr>
          <w:rFonts w:ascii="Times New Roman" w:eastAsiaTheme="minorEastAsia" w:hAnsi="Times New Roman" w:cs="Times New Roman"/>
          <w:sz w:val="24"/>
          <w:szCs w:val="24"/>
        </w:rPr>
        <w:t>.</w:t>
      </w:r>
    </w:p>
    <w:p w14:paraId="7008DA5C" w14:textId="77777777" w:rsidR="005842E4" w:rsidRPr="008A067E" w:rsidRDefault="005842E4" w:rsidP="008A067E">
      <w:pPr>
        <w:pStyle w:val="Heading2"/>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9" w:name="_Toc40722486"/>
      <w:r w:rsidRPr="008A067E">
        <w:rPr>
          <w:rFonts w:ascii="Times New Roman" w:eastAsiaTheme="minorEastAsia" w:hAnsi="Times New Roman" w:cs="Times New Roman"/>
          <w:b/>
          <w:bCs/>
          <w:color w:val="000000" w:themeColor="text1"/>
          <w:sz w:val="24"/>
          <w:szCs w:val="24"/>
        </w:rPr>
        <w:lastRenderedPageBreak/>
        <w:t>RT-to-Patient Ratio in KSA.</w:t>
      </w:r>
      <w:bookmarkEnd w:id="9"/>
    </w:p>
    <w:p w14:paraId="1EADFA0E"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Currently, Sacm.org indicates that the internationally recommended ratio of RTs in the ICU is 1:5. According to Alotaibi, 328 hospitals in KSA, about 78.6 percent, have no RTs operating in the facilities, and only 88 health care facilities have respiratory care services provided by RTs. The author links the small number of RTs to several reasons, including the fact that RT is a relatively new field in the KSA health care sector. Alotaibi indicates that the ratio they found in the hospitals was: RT to ICU beds (1:20)</w:t>
      </w:r>
      <w:r>
        <w:rPr>
          <w:rStyle w:val="EndnoteReference"/>
          <w:rFonts w:ascii="Times New Roman" w:eastAsiaTheme="minorEastAsia" w:hAnsi="Times New Roman" w:cs="Times New Roman"/>
          <w:sz w:val="24"/>
          <w:szCs w:val="24"/>
        </w:rPr>
        <w:endnoteReference w:id="47"/>
      </w:r>
      <w:r>
        <w:rPr>
          <w:rFonts w:ascii="Times New Roman" w:eastAsiaTheme="minorEastAsia" w:hAnsi="Times New Roman" w:cs="Times New Roman"/>
          <w:sz w:val="24"/>
          <w:szCs w:val="24"/>
        </w:rPr>
        <w:t xml:space="preserve"> </w:t>
      </w:r>
      <w:r>
        <w:rPr>
          <w:rStyle w:val="EndnoteReference"/>
          <w:rFonts w:ascii="Times New Roman" w:eastAsiaTheme="minorEastAsia" w:hAnsi="Times New Roman" w:cs="Times New Roman"/>
          <w:sz w:val="24"/>
          <w:szCs w:val="24"/>
        </w:rPr>
        <w:endnoteReference w:id="48"/>
      </w:r>
      <w:r>
        <w:rPr>
          <w:rFonts w:ascii="Times New Roman" w:eastAsiaTheme="minorEastAsia" w:hAnsi="Times New Roman" w:cs="Times New Roman"/>
          <w:sz w:val="24"/>
          <w:szCs w:val="24"/>
        </w:rPr>
        <w:t>. In the United States, the rate ranges between 1:4 and 1:6 in the patient to RT ratios</w:t>
      </w:r>
      <w:r>
        <w:rPr>
          <w:rStyle w:val="EndnoteReference"/>
          <w:rFonts w:ascii="Times New Roman" w:eastAsiaTheme="minorEastAsia" w:hAnsi="Times New Roman" w:cs="Times New Roman"/>
          <w:sz w:val="24"/>
          <w:szCs w:val="24"/>
        </w:rPr>
        <w:endnoteReference w:id="49"/>
      </w:r>
      <w:r>
        <w:rPr>
          <w:rFonts w:ascii="Times New Roman" w:eastAsiaTheme="minorEastAsia" w:hAnsi="Times New Roman" w:cs="Times New Roman"/>
          <w:sz w:val="24"/>
          <w:szCs w:val="24"/>
        </w:rPr>
        <w:t xml:space="preserve">. </w:t>
      </w:r>
      <w:r>
        <w:rPr>
          <w:rFonts w:ascii="Times New Roman" w:eastAsiaTheme="minorEastAsia" w:hAnsi="Times New Roman" w:cs="Times New Roman"/>
          <w:color w:val="000000" w:themeColor="text1"/>
          <w:sz w:val="24"/>
          <w:szCs w:val="24"/>
        </w:rPr>
        <w:t xml:space="preserve">According to the Telford staffing model developed, the hiring of RTs at a rate of 1:5 with patients would ensure that the RT spends appropriate time with patients served in the ICU. When the RTs work at a rate of 48 hours per week, there will be 21,666 RTs needed to work in the KSA hospitals. </w:t>
      </w:r>
    </w:p>
    <w:p w14:paraId="135E9DAA" w14:textId="77777777" w:rsidR="005842E4" w:rsidRDefault="005842E4" w:rsidP="006E34BB">
      <w:pPr>
        <w:spacing w:after="0" w:line="360" w:lineRule="auto"/>
        <w:jc w:val="both"/>
        <w:rPr>
          <w:rFonts w:ascii="Times New Roman" w:eastAsiaTheme="minorEastAsia" w:hAnsi="Times New Roman" w:cs="Times New Roman"/>
          <w:sz w:val="24"/>
          <w:szCs w:val="24"/>
        </w:rPr>
      </w:pPr>
    </w:p>
    <w:p w14:paraId="2FD34D8A" w14:textId="77777777" w:rsidR="005842E4" w:rsidRDefault="005842E4" w:rsidP="006E34BB">
      <w:pPr>
        <w:pStyle w:val="Caption"/>
        <w:keepNext/>
        <w:spacing w:line="360" w:lineRule="auto"/>
        <w:jc w:val="both"/>
      </w:pPr>
      <w:r>
        <w:t xml:space="preserve">Table </w:t>
      </w:r>
      <w:r>
        <w:fldChar w:fldCharType="begin"/>
      </w:r>
      <w:r>
        <w:instrText xml:space="preserve"> SEQ Table \* ARABIC </w:instrText>
      </w:r>
      <w:r>
        <w:fldChar w:fldCharType="separate"/>
      </w:r>
      <w:r>
        <w:rPr>
          <w:noProof/>
        </w:rPr>
        <w:t>7</w:t>
      </w:r>
      <w:r>
        <w:rPr>
          <w:noProof/>
        </w:rPr>
        <w:fldChar w:fldCharType="end"/>
      </w:r>
      <w:r>
        <w:t>: Ratios and Shifts (Telford Staffing Model Formula)</w:t>
      </w:r>
    </w:p>
    <w:tbl>
      <w:tblPr>
        <w:tblW w:w="7241" w:type="dxa"/>
        <w:jc w:val="center"/>
        <w:tblLook w:val="04A0" w:firstRow="1" w:lastRow="0" w:firstColumn="1" w:lastColumn="0" w:noHBand="0" w:noVBand="1"/>
      </w:tblPr>
      <w:tblGrid>
        <w:gridCol w:w="5245"/>
        <w:gridCol w:w="1996"/>
      </w:tblGrid>
      <w:tr w:rsidR="005842E4" w14:paraId="397B5D84" w14:textId="77777777" w:rsidTr="00BF2F0C">
        <w:trPr>
          <w:trHeight w:val="273"/>
          <w:jc w:val="center"/>
        </w:trPr>
        <w:tc>
          <w:tcPr>
            <w:tcW w:w="5245" w:type="dxa"/>
            <w:noWrap/>
            <w:vAlign w:val="bottom"/>
            <w:hideMark/>
          </w:tcPr>
          <w:p w14:paraId="5852653F" w14:textId="77777777" w:rsidR="005842E4" w:rsidRDefault="005842E4" w:rsidP="006E34BB">
            <w:pPr>
              <w:spacing w:line="360" w:lineRule="auto"/>
              <w:jc w:val="both"/>
            </w:pPr>
          </w:p>
        </w:tc>
        <w:tc>
          <w:tcPr>
            <w:tcW w:w="1996" w:type="dxa"/>
            <w:noWrap/>
            <w:vAlign w:val="bottom"/>
          </w:tcPr>
          <w:p w14:paraId="6C0311FA" w14:textId="77777777" w:rsidR="005842E4" w:rsidRDefault="005842E4" w:rsidP="006E34BB">
            <w:pPr>
              <w:spacing w:after="0" w:line="360" w:lineRule="auto"/>
              <w:jc w:val="both"/>
              <w:rPr>
                <w:rFonts w:ascii="Times New Roman" w:eastAsia="Times New Roman" w:hAnsi="Times New Roman" w:cs="Times New Roman"/>
                <w:sz w:val="18"/>
                <w:szCs w:val="18"/>
              </w:rPr>
            </w:pPr>
          </w:p>
          <w:p w14:paraId="4CD599D5" w14:textId="77777777" w:rsidR="005842E4" w:rsidRDefault="005842E4" w:rsidP="006E34BB">
            <w:pPr>
              <w:spacing w:after="0" w:line="360" w:lineRule="auto"/>
              <w:jc w:val="both"/>
              <w:rPr>
                <w:rFonts w:ascii="Times New Roman" w:eastAsia="Times New Roman" w:hAnsi="Times New Roman" w:cs="Times New Roman"/>
                <w:sz w:val="18"/>
                <w:szCs w:val="18"/>
              </w:rPr>
            </w:pPr>
          </w:p>
        </w:tc>
      </w:tr>
      <w:tr w:rsidR="005842E4" w14:paraId="6157879D" w14:textId="77777777" w:rsidTr="00BF2F0C">
        <w:trPr>
          <w:trHeight w:val="316"/>
          <w:jc w:val="center"/>
        </w:trPr>
        <w:tc>
          <w:tcPr>
            <w:tcW w:w="5245" w:type="dxa"/>
            <w:tcBorders>
              <w:top w:val="double" w:sz="6" w:space="0" w:color="808080"/>
              <w:left w:val="double" w:sz="6" w:space="0" w:color="808080"/>
              <w:bottom w:val="single" w:sz="4" w:space="0" w:color="808080"/>
              <w:right w:val="single" w:sz="4" w:space="0" w:color="808080"/>
            </w:tcBorders>
            <w:noWrap/>
            <w:vAlign w:val="bottom"/>
            <w:hideMark/>
          </w:tcPr>
          <w:p w14:paraId="4CBF6253"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shift length (hours)</w:t>
            </w:r>
          </w:p>
        </w:tc>
        <w:tc>
          <w:tcPr>
            <w:tcW w:w="1996" w:type="dxa"/>
            <w:tcBorders>
              <w:top w:val="double" w:sz="6" w:space="0" w:color="808080"/>
              <w:left w:val="nil"/>
              <w:bottom w:val="single" w:sz="4" w:space="0" w:color="808080"/>
              <w:right w:val="single" w:sz="4" w:space="0" w:color="808080"/>
            </w:tcBorders>
            <w:shd w:val="clear" w:color="auto" w:fill="D9D9D9"/>
            <w:noWrap/>
            <w:vAlign w:val="bottom"/>
            <w:hideMark/>
          </w:tcPr>
          <w:p w14:paraId="652BEE08"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24 (12 day and 12 night)</w:t>
            </w:r>
          </w:p>
        </w:tc>
      </w:tr>
      <w:tr w:rsidR="005842E4" w14:paraId="28D55EA9" w14:textId="77777777" w:rsidTr="00BF2F0C">
        <w:trPr>
          <w:trHeight w:val="302"/>
          <w:jc w:val="center"/>
        </w:trPr>
        <w:tc>
          <w:tcPr>
            <w:tcW w:w="5245" w:type="dxa"/>
            <w:tcBorders>
              <w:top w:val="nil"/>
              <w:left w:val="double" w:sz="6" w:space="0" w:color="808080"/>
              <w:bottom w:val="single" w:sz="4" w:space="0" w:color="808080"/>
              <w:right w:val="single" w:sz="4" w:space="0" w:color="808080"/>
            </w:tcBorders>
            <w:noWrap/>
            <w:vAlign w:val="bottom"/>
            <w:hideMark/>
          </w:tcPr>
          <w:p w14:paraId="75FA82A6"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Days</w:t>
            </w:r>
          </w:p>
        </w:tc>
        <w:tc>
          <w:tcPr>
            <w:tcW w:w="1996" w:type="dxa"/>
            <w:tcBorders>
              <w:top w:val="nil"/>
              <w:left w:val="nil"/>
              <w:bottom w:val="single" w:sz="4" w:space="0" w:color="808080"/>
              <w:right w:val="single" w:sz="4" w:space="0" w:color="808080"/>
            </w:tcBorders>
            <w:shd w:val="clear" w:color="auto" w:fill="D9D9D9"/>
            <w:noWrap/>
            <w:vAlign w:val="bottom"/>
            <w:hideMark/>
          </w:tcPr>
          <w:p w14:paraId="26731ABC"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7</w:t>
            </w:r>
          </w:p>
        </w:tc>
      </w:tr>
      <w:tr w:rsidR="005842E4" w14:paraId="2FB26758" w14:textId="77777777" w:rsidTr="00BF2F0C">
        <w:trPr>
          <w:trHeight w:val="302"/>
          <w:jc w:val="center"/>
        </w:trPr>
        <w:tc>
          <w:tcPr>
            <w:tcW w:w="5245" w:type="dxa"/>
            <w:tcBorders>
              <w:top w:val="nil"/>
              <w:left w:val="double" w:sz="6" w:space="0" w:color="808080"/>
              <w:bottom w:val="single" w:sz="4" w:space="0" w:color="808080"/>
              <w:right w:val="single" w:sz="4" w:space="0" w:color="808080"/>
            </w:tcBorders>
            <w:noWrap/>
            <w:vAlign w:val="bottom"/>
            <w:hideMark/>
          </w:tcPr>
          <w:p w14:paraId="1C9D545C"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Per week hours</w:t>
            </w:r>
          </w:p>
        </w:tc>
        <w:tc>
          <w:tcPr>
            <w:tcW w:w="1996" w:type="dxa"/>
            <w:tcBorders>
              <w:top w:val="nil"/>
              <w:left w:val="nil"/>
              <w:bottom w:val="single" w:sz="4" w:space="0" w:color="808080"/>
              <w:right w:val="single" w:sz="4" w:space="0" w:color="808080"/>
            </w:tcBorders>
            <w:shd w:val="clear" w:color="auto" w:fill="D9D9D9"/>
            <w:noWrap/>
            <w:vAlign w:val="bottom"/>
            <w:hideMark/>
          </w:tcPr>
          <w:p w14:paraId="5ABA1487"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48</w:t>
            </w:r>
          </w:p>
        </w:tc>
      </w:tr>
      <w:tr w:rsidR="005842E4" w14:paraId="70E7FF25" w14:textId="77777777" w:rsidTr="00BF2F0C">
        <w:trPr>
          <w:trHeight w:val="316"/>
          <w:jc w:val="center"/>
        </w:trPr>
        <w:tc>
          <w:tcPr>
            <w:tcW w:w="5245" w:type="dxa"/>
            <w:tcBorders>
              <w:top w:val="nil"/>
              <w:left w:val="double" w:sz="6" w:space="0" w:color="808080"/>
              <w:bottom w:val="double" w:sz="6" w:space="0" w:color="808080"/>
              <w:right w:val="single" w:sz="4" w:space="0" w:color="808080"/>
            </w:tcBorders>
            <w:noWrap/>
            <w:vAlign w:val="bottom"/>
            <w:hideMark/>
          </w:tcPr>
          <w:p w14:paraId="6A336ED0"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Sick leave, off-days, etc.</w:t>
            </w:r>
          </w:p>
        </w:tc>
        <w:tc>
          <w:tcPr>
            <w:tcW w:w="1996" w:type="dxa"/>
            <w:tcBorders>
              <w:top w:val="nil"/>
              <w:left w:val="nil"/>
              <w:bottom w:val="double" w:sz="6" w:space="0" w:color="808080"/>
              <w:right w:val="single" w:sz="4" w:space="0" w:color="808080"/>
            </w:tcBorders>
            <w:shd w:val="clear" w:color="auto" w:fill="D9D9D9"/>
            <w:noWrap/>
            <w:vAlign w:val="bottom"/>
            <w:hideMark/>
          </w:tcPr>
          <w:p w14:paraId="522F0537"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23%</w:t>
            </w:r>
          </w:p>
        </w:tc>
      </w:tr>
      <w:tr w:rsidR="005842E4" w14:paraId="4C843420" w14:textId="77777777" w:rsidTr="00BF2F0C">
        <w:trPr>
          <w:trHeight w:val="316"/>
          <w:jc w:val="center"/>
        </w:trPr>
        <w:tc>
          <w:tcPr>
            <w:tcW w:w="5245" w:type="dxa"/>
            <w:tcBorders>
              <w:top w:val="nil"/>
              <w:left w:val="double" w:sz="6" w:space="0" w:color="808080"/>
              <w:bottom w:val="double" w:sz="6" w:space="0" w:color="808080"/>
              <w:right w:val="single" w:sz="4" w:space="0" w:color="808080"/>
            </w:tcBorders>
            <w:noWrap/>
            <w:vAlign w:val="bottom"/>
          </w:tcPr>
          <w:p w14:paraId="0F342B6D"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Ratio in ICU</w:t>
            </w:r>
          </w:p>
        </w:tc>
        <w:tc>
          <w:tcPr>
            <w:tcW w:w="1996" w:type="dxa"/>
            <w:tcBorders>
              <w:top w:val="nil"/>
              <w:left w:val="nil"/>
              <w:bottom w:val="double" w:sz="6" w:space="0" w:color="808080"/>
              <w:right w:val="single" w:sz="4" w:space="0" w:color="808080"/>
            </w:tcBorders>
            <w:shd w:val="clear" w:color="auto" w:fill="D9D9D9"/>
            <w:noWrap/>
            <w:vAlign w:val="bottom"/>
          </w:tcPr>
          <w:p w14:paraId="5F72A72C"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1:5</w:t>
            </w:r>
          </w:p>
        </w:tc>
      </w:tr>
      <w:tr w:rsidR="005842E4" w14:paraId="32E512C8" w14:textId="77777777" w:rsidTr="00BF2F0C">
        <w:trPr>
          <w:trHeight w:val="316"/>
          <w:jc w:val="center"/>
        </w:trPr>
        <w:tc>
          <w:tcPr>
            <w:tcW w:w="5245" w:type="dxa"/>
            <w:tcBorders>
              <w:top w:val="nil"/>
              <w:left w:val="double" w:sz="6" w:space="0" w:color="808080"/>
              <w:bottom w:val="double" w:sz="6" w:space="0" w:color="808080"/>
              <w:right w:val="single" w:sz="4" w:space="0" w:color="808080"/>
            </w:tcBorders>
            <w:noWrap/>
            <w:vAlign w:val="bottom"/>
          </w:tcPr>
          <w:p w14:paraId="06D0941C"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Ratio in the floor</w:t>
            </w:r>
          </w:p>
        </w:tc>
        <w:tc>
          <w:tcPr>
            <w:tcW w:w="1996" w:type="dxa"/>
            <w:tcBorders>
              <w:top w:val="nil"/>
              <w:left w:val="nil"/>
              <w:bottom w:val="double" w:sz="6" w:space="0" w:color="808080"/>
              <w:right w:val="single" w:sz="4" w:space="0" w:color="808080"/>
            </w:tcBorders>
            <w:shd w:val="clear" w:color="auto" w:fill="D9D9D9"/>
            <w:noWrap/>
            <w:vAlign w:val="bottom"/>
          </w:tcPr>
          <w:p w14:paraId="0ACE998B"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1:20</w:t>
            </w:r>
          </w:p>
        </w:tc>
      </w:tr>
      <w:tr w:rsidR="005842E4" w14:paraId="1FF9B8E4" w14:textId="77777777" w:rsidTr="00BF2F0C">
        <w:trPr>
          <w:trHeight w:val="316"/>
          <w:jc w:val="center"/>
        </w:trPr>
        <w:tc>
          <w:tcPr>
            <w:tcW w:w="5245" w:type="dxa"/>
            <w:noWrap/>
            <w:vAlign w:val="bottom"/>
            <w:hideMark/>
          </w:tcPr>
          <w:p w14:paraId="190E5FB8"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p>
        </w:tc>
        <w:tc>
          <w:tcPr>
            <w:tcW w:w="1996" w:type="dxa"/>
            <w:noWrap/>
            <w:vAlign w:val="bottom"/>
            <w:hideMark/>
          </w:tcPr>
          <w:p w14:paraId="577AE03F"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p>
        </w:tc>
      </w:tr>
      <w:tr w:rsidR="005842E4" w14:paraId="6214178E" w14:textId="77777777" w:rsidTr="00BF2F0C">
        <w:trPr>
          <w:trHeight w:val="302"/>
          <w:jc w:val="center"/>
        </w:trPr>
        <w:tc>
          <w:tcPr>
            <w:tcW w:w="5245" w:type="dxa"/>
            <w:noWrap/>
            <w:vAlign w:val="bottom"/>
            <w:hideMark/>
          </w:tcPr>
          <w:p w14:paraId="4A36BACD"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p>
        </w:tc>
        <w:tc>
          <w:tcPr>
            <w:tcW w:w="1996" w:type="dxa"/>
            <w:noWrap/>
            <w:vAlign w:val="bottom"/>
            <w:hideMark/>
          </w:tcPr>
          <w:p w14:paraId="30A91840" w14:textId="77777777" w:rsidR="005842E4" w:rsidRDefault="005842E4" w:rsidP="006E34BB">
            <w:pPr>
              <w:spacing w:after="0" w:line="360" w:lineRule="auto"/>
              <w:jc w:val="both"/>
              <w:rPr>
                <w:rFonts w:ascii="Times New Roman" w:eastAsia="Times New Roman" w:hAnsi="Times New Roman" w:cs="Times New Roman"/>
                <w:color w:val="000000"/>
                <w:sz w:val="18"/>
                <w:szCs w:val="18"/>
              </w:rPr>
            </w:pPr>
          </w:p>
        </w:tc>
      </w:tr>
      <w:tr w:rsidR="005842E4" w14:paraId="6EDFB199" w14:textId="77777777" w:rsidTr="00BF2F0C">
        <w:trPr>
          <w:trHeight w:val="302"/>
          <w:jc w:val="center"/>
        </w:trPr>
        <w:tc>
          <w:tcPr>
            <w:tcW w:w="5245" w:type="dxa"/>
            <w:noWrap/>
            <w:vAlign w:val="bottom"/>
            <w:hideMark/>
          </w:tcPr>
          <w:p w14:paraId="37D8874A" w14:textId="77777777" w:rsidR="005842E4" w:rsidRDefault="005842E4" w:rsidP="006E34BB">
            <w:pPr>
              <w:spacing w:line="360" w:lineRule="auto"/>
              <w:jc w:val="both"/>
              <w:rPr>
                <w:rFonts w:ascii="Times New Roman" w:eastAsia="Times New Roman" w:hAnsi="Times New Roman" w:cs="Times New Roman"/>
                <w:color w:val="000000"/>
                <w:sz w:val="18"/>
                <w:szCs w:val="18"/>
              </w:rPr>
            </w:pPr>
          </w:p>
        </w:tc>
        <w:tc>
          <w:tcPr>
            <w:tcW w:w="1996" w:type="dxa"/>
            <w:noWrap/>
            <w:vAlign w:val="bottom"/>
            <w:hideMark/>
          </w:tcPr>
          <w:p w14:paraId="08CB0085" w14:textId="77777777" w:rsidR="005842E4" w:rsidRDefault="005842E4" w:rsidP="006E34BB">
            <w:pPr>
              <w:spacing w:after="0" w:line="360" w:lineRule="auto"/>
              <w:jc w:val="both"/>
              <w:rPr>
                <w:sz w:val="20"/>
                <w:szCs w:val="20"/>
                <w:lang w:val="ar-SA"/>
              </w:rPr>
            </w:pPr>
          </w:p>
        </w:tc>
      </w:tr>
    </w:tbl>
    <w:p w14:paraId="0F5BBB45" w14:textId="77777777" w:rsidR="005842E4" w:rsidRDefault="005842E4" w:rsidP="006E34B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According to the Telford staffing plan. The 23 percent rate determines the number of the RTs might not be at work because of numerous issues, including </w:t>
      </w:r>
      <w:r>
        <w:rPr>
          <w:rFonts w:ascii="Times New Roman" w:eastAsiaTheme="minorEastAsia" w:hAnsi="Times New Roman" w:cs="Times New Roman"/>
          <w:color w:val="000000" w:themeColor="text1"/>
          <w:sz w:val="24"/>
          <w:szCs w:val="24"/>
        </w:rPr>
        <w:t xml:space="preserve">sick leaves, off-duty days, </w:t>
      </w:r>
      <w:r>
        <w:rPr>
          <w:rFonts w:ascii="Times New Roman" w:eastAsiaTheme="minorEastAsia" w:hAnsi="Times New Roman" w:cs="Times New Roman"/>
          <w:sz w:val="24"/>
          <w:szCs w:val="24"/>
        </w:rPr>
        <w:t>and other related reasons that will make the some of the RTs unavailable from duty in the hospitals in KSA. Therefore, the model of Telford considers adding 23% of the total RTs required in the hospitals depending on the determined ratios in previous studies, to ensure that despite the absence of some of the RTs in the hospitals.</w:t>
      </w:r>
    </w:p>
    <w:p w14:paraId="4D2BF738" w14:textId="77777777" w:rsidR="005842E4" w:rsidRPr="008A067E" w:rsidRDefault="005842E4" w:rsidP="008A067E">
      <w:pPr>
        <w:pStyle w:val="Heading1"/>
        <w:numPr>
          <w:ilvl w:val="0"/>
          <w:numId w:val="2"/>
        </w:numPr>
        <w:spacing w:line="360" w:lineRule="auto"/>
        <w:jc w:val="both"/>
        <w:rPr>
          <w:rFonts w:ascii="Times New Roman" w:eastAsiaTheme="minorEastAsia" w:hAnsi="Times New Roman" w:cs="Times New Roman"/>
          <w:b/>
          <w:bCs/>
          <w:color w:val="000000" w:themeColor="text1"/>
          <w:sz w:val="24"/>
          <w:szCs w:val="24"/>
        </w:rPr>
      </w:pPr>
      <w:bookmarkStart w:id="10" w:name="_Toc40722487"/>
      <w:r w:rsidRPr="008A067E">
        <w:rPr>
          <w:rFonts w:ascii="Times New Roman" w:eastAsiaTheme="minorEastAsia" w:hAnsi="Times New Roman" w:cs="Times New Roman"/>
          <w:b/>
          <w:bCs/>
          <w:color w:val="000000" w:themeColor="text1"/>
          <w:sz w:val="24"/>
          <w:szCs w:val="24"/>
        </w:rPr>
        <w:t>Conclusion</w:t>
      </w:r>
      <w:bookmarkEnd w:id="10"/>
    </w:p>
    <w:p w14:paraId="2AB7FF2E" w14:textId="77777777" w:rsidR="005842E4" w:rsidRPr="00CD4340" w:rsidRDefault="005842E4" w:rsidP="006E34BB">
      <w:pPr>
        <w:spacing w:after="0" w:line="360" w:lineRule="auto"/>
        <w:jc w:val="both"/>
        <w:rPr>
          <w:rFonts w:ascii="Times New Roman" w:eastAsiaTheme="minorEastAsia" w:hAnsi="Times New Roman" w:cs="Times New Roman"/>
          <w:color w:val="000000" w:themeColor="text1"/>
          <w:sz w:val="24"/>
          <w:szCs w:val="24"/>
        </w:rPr>
      </w:pPr>
      <w:r>
        <w:rPr>
          <w:rFonts w:ascii="Times New Roman" w:eastAsiaTheme="minorEastAsia" w:hAnsi="Times New Roman" w:cs="Times New Roman"/>
          <w:b/>
          <w:bCs/>
          <w:sz w:val="24"/>
          <w:szCs w:val="24"/>
        </w:rPr>
        <w:tab/>
      </w:r>
      <w:r>
        <w:rPr>
          <w:rFonts w:ascii="Times New Roman" w:eastAsiaTheme="minorEastAsia" w:hAnsi="Times New Roman" w:cs="Times New Roman"/>
          <w:sz w:val="24"/>
          <w:szCs w:val="24"/>
        </w:rPr>
        <w:t xml:space="preserve">The estimated number of RTs needed in KSA is 21,666 RTs (annually) required to match the total 75,225 beds obtain RT therapists services across all the KSA hospitals at any one time based on the Telford staffing model in all the hospitals in Saudi Arabia, including those owned, and operated by MOH, other government services, and private facilities. The </w:t>
      </w:r>
      <w:r>
        <w:rPr>
          <w:rFonts w:ascii="Times New Roman" w:eastAsiaTheme="minorEastAsia" w:hAnsi="Times New Roman" w:cs="Times New Roman"/>
          <w:sz w:val="24"/>
          <w:szCs w:val="24"/>
        </w:rPr>
        <w:lastRenderedPageBreak/>
        <w:t>need to hire RTs is aimed at improving the health care services and outcomes in the health care facilities in Saudi Arabia. In all ICUs, with 8,477 beds, the estimated number of RTs needed in KSA is 7,300 RTs, according to the model (requiring 7,300 RTs to keep the them on duty for two 12 hours shifts [day and night] throughout the year in respiratory care). The model allows the addition and removal of the general floor’s bed capacities to the ICUs where RTs services are needed. In the general floor, with a ratio of 1:20 there is need for 14,366 RTs to serve the 66,748 beds in the general section of all the hospitals in Saudi Arabia. The ratio used in obtaining this number of RTs is based on the Telford model</w:t>
      </w:r>
      <w:r>
        <w:rPr>
          <w:rFonts w:ascii="Times New Roman" w:eastAsiaTheme="minorEastAsia" w:hAnsi="Times New Roman" w:cs="Times New Roman"/>
          <w:color w:val="000000" w:themeColor="text1"/>
          <w:sz w:val="24"/>
          <w:szCs w:val="24"/>
        </w:rPr>
        <w:t>, where a 20% rate of RTs to patients (1:5 in the ICU) was considered to attain the international standards of RTs-to-patients, in the ICUs across all the provinces in Saudi Arabia</w:t>
      </w:r>
      <w:r>
        <w:rPr>
          <w:rFonts w:ascii="Times New Roman" w:eastAsiaTheme="minorEastAsia" w:hAnsi="Times New Roman" w:cs="Times New Roman"/>
          <w:sz w:val="24"/>
          <w:szCs w:val="24"/>
        </w:rPr>
        <w:t>. The current ratio in Saudi Arabia, according Alotaibi is 1:11 average, with 1:9 in non-MOH hospitals and 1:20 in MOH hospitals</w:t>
      </w:r>
      <w:r>
        <w:rPr>
          <w:rStyle w:val="EndnoteReference"/>
          <w:rFonts w:ascii="Times New Roman" w:eastAsiaTheme="minorEastAsia" w:hAnsi="Times New Roman" w:cs="Times New Roman"/>
          <w:sz w:val="24"/>
          <w:szCs w:val="24"/>
        </w:rPr>
        <w:endnoteReference w:id="50"/>
      </w:r>
      <w:r>
        <w:rPr>
          <w:rFonts w:ascii="Times New Roman" w:eastAsiaTheme="minorEastAsia" w:hAnsi="Times New Roman" w:cs="Times New Roman"/>
          <w:sz w:val="24"/>
          <w:szCs w:val="24"/>
        </w:rPr>
        <w:t xml:space="preserve">. In this study, we use the ratio indicated in the Alotaibi (2015) study of 1:20 on the general floor beds, but apply the Canadian ratio of 1:5 in the ICU on all the hospitals in KSA.    </w:t>
      </w:r>
    </w:p>
    <w:p w14:paraId="6FC54766"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Attaining this capacity will enable MOH to improve the efficiency of the country's health care sector through improving the effectiveness of the hospital units where RT is required. The reduction of the current ratio of 1:20 RT-to-patient in the ICU beds in KSA hospitals coming down to 1:5 will meet the international rate and improve respiratory care units in the various government and private facilities. Additionally, the hiring of RTs to attain the recommended number will also facilitate the distribution of RTs to the understaffed regions in the north, east, and south of the country, where there are high population densities but no enough RTs to offer respiratory care services to the population. The concentration of RTs in the central region of the country is also associated with the expatriate dominated health care system in KSA, which will be solved by the training and hiring of RTs who are local Saudis to work in the areas away from the big cities and densely populated regions of Saudi Arabia. </w:t>
      </w:r>
    </w:p>
    <w:p w14:paraId="7E50FD07"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The main recommendation associated with the increasing the number of RTs in KSA involves determining the capacity of the current 13 different colleges based on the study on governmental and private universities that teach and train RTs in Saudi Arabia</w:t>
      </w:r>
      <w:r>
        <w:rPr>
          <w:rStyle w:val="EndnoteReference"/>
          <w:rFonts w:ascii="Times New Roman" w:eastAsiaTheme="minorEastAsia" w:hAnsi="Times New Roman" w:cs="Times New Roman"/>
          <w:sz w:val="24"/>
          <w:szCs w:val="24"/>
        </w:rPr>
        <w:endnoteReference w:id="51"/>
      </w:r>
      <w:r>
        <w:rPr>
          <w:rFonts w:ascii="Times New Roman" w:eastAsiaTheme="minorEastAsia" w:hAnsi="Times New Roman" w:cs="Times New Roman"/>
          <w:sz w:val="24"/>
          <w:szCs w:val="24"/>
        </w:rPr>
        <w:t>. There is a huge gap between the current number of RTs (1,501) based on 2015 study and the optimum number based on this study in the Kingdom of Saudi Arabia</w:t>
      </w:r>
      <w:r>
        <w:rPr>
          <w:rStyle w:val="EndnoteReference"/>
          <w:rFonts w:ascii="Times New Roman" w:eastAsiaTheme="minorEastAsia" w:hAnsi="Times New Roman" w:cs="Times New Roman"/>
          <w:sz w:val="24"/>
          <w:szCs w:val="24"/>
        </w:rPr>
        <w:endnoteReference w:id="52"/>
      </w:r>
      <w:r>
        <w:rPr>
          <w:rFonts w:ascii="Times New Roman" w:eastAsiaTheme="minorEastAsia" w:hAnsi="Times New Roman" w:cs="Times New Roman"/>
          <w:sz w:val="24"/>
          <w:szCs w:val="24"/>
        </w:rPr>
        <w:t xml:space="preserve">. Therefore, more medical training school needs to invest in training respiratory therapists to increase the number of RTs that are Saudis without relying in expatriate RTs from Philippines, United States, neighboring countries in the Middle East, and Europe. </w:t>
      </w:r>
    </w:p>
    <w:p w14:paraId="0407E1D1" w14:textId="77777777" w:rsidR="005842E4" w:rsidRDefault="005842E4" w:rsidP="006E34BB">
      <w:pPr>
        <w:spacing w:after="0"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xml:space="preserve">There are administrative, financial, qualification, and labor limitations in the proposal to hire the 7,300 RTs in KSA ICU beds to attain the internationally recommended ratio of 1:5 </w:t>
      </w:r>
      <w:r>
        <w:rPr>
          <w:rFonts w:ascii="Times New Roman" w:eastAsiaTheme="minorEastAsia" w:hAnsi="Times New Roman" w:cs="Times New Roman"/>
          <w:sz w:val="24"/>
          <w:szCs w:val="24"/>
        </w:rPr>
        <w:lastRenderedPageBreak/>
        <w:t xml:space="preserve">RTs-to-patient ratios in the ICU of the different facilities. </w:t>
      </w:r>
      <w:r>
        <w:rPr>
          <w:rFonts w:ascii="Times New Roman" w:eastAsiaTheme="minorEastAsia" w:hAnsi="Times New Roman" w:cs="Times New Roman"/>
          <w:color w:val="000000" w:themeColor="text1"/>
          <w:sz w:val="24"/>
          <w:szCs w:val="24"/>
        </w:rPr>
        <w:t xml:space="preserve">The official nature of the government of KSA will require overcoming various barriers to obtain mass recruitment </w:t>
      </w:r>
      <w:r>
        <w:rPr>
          <w:rFonts w:ascii="Times New Roman" w:eastAsiaTheme="minorEastAsia" w:hAnsi="Times New Roman" w:cs="Times New Roman"/>
          <w:sz w:val="24"/>
          <w:szCs w:val="24"/>
        </w:rPr>
        <w:t xml:space="preserve">of RTs in KSA Hiring these RTs will come to a high labor cost to the government that controls approximately 60 percent of the health care sector of KSA. Another related issue is the shortage of trained RTs in KSA, whereby the government will be compelled to hire more expatriate RTs to work in Saudi Arabia government health facilities. Before KSA attains a local workforce that can meet the demand of RTs at 1:5, there will be a need to work with foreign RTs, who might cost more in terms of compensation and benefits. The limitations of this </w:t>
      </w:r>
      <w:r>
        <w:rPr>
          <w:rFonts w:ascii="Times New Roman" w:hAnsi="Times New Roman" w:cs="Times New Roman"/>
          <w:color w:val="000000" w:themeColor="text1"/>
          <w:sz w:val="24"/>
          <w:szCs w:val="24"/>
        </w:rPr>
        <w:t xml:space="preserve">in this study are also associated with its model approach to </w:t>
      </w:r>
      <w:r>
        <w:rPr>
          <w:rFonts w:ascii="Times New Roman" w:hAnsi="Times New Roman" w:cs="Times New Roman"/>
          <w:sz w:val="24"/>
          <w:szCs w:val="24"/>
        </w:rPr>
        <w:t xml:space="preserve">estimate </w:t>
      </w:r>
      <w:r>
        <w:rPr>
          <w:rFonts w:ascii="Times New Roman" w:hAnsi="Times New Roman" w:cs="Times New Roman"/>
          <w:color w:val="000000" w:themeColor="text1"/>
          <w:sz w:val="24"/>
          <w:szCs w:val="24"/>
        </w:rPr>
        <w:t xml:space="preserve">the optimal number of RTs in KSA. The current study did not consider RTs who work in pulmonary function tests, sleep lap, homecare, pulmonary rehab, colleges and medical training facilities, research center, and RTs administration in the hospital. The model was limited to the general floor and ICU beds in the 20 </w:t>
      </w:r>
      <w:r>
        <w:rPr>
          <w:rFonts w:ascii="Times New Roman" w:hAnsi="Times New Roman" w:cs="Times New Roman"/>
          <w:sz w:val="24"/>
          <w:szCs w:val="24"/>
        </w:rPr>
        <w:t xml:space="preserve"> medical administrative</w:t>
      </w:r>
      <w:r>
        <w:rPr>
          <w:rFonts w:ascii="Times New Roman" w:hAnsi="Times New Roman" w:cs="Times New Roman"/>
          <w:color w:val="000000" w:themeColor="text1"/>
          <w:sz w:val="24"/>
          <w:szCs w:val="24"/>
        </w:rPr>
        <w:t xml:space="preserve"> regions in KSA through finding an optimal ratio using Telford’s staffing plan of ensuring RT services in hospitals at all times. RTs administration consist of different department such as, quality, education, and supply, among other departments, and each department has his own team of RTs. </w:t>
      </w:r>
    </w:p>
    <w:p w14:paraId="3D6ED489" w14:textId="77777777" w:rsidR="005842E4" w:rsidRDefault="005842E4" w:rsidP="006E34BB">
      <w:pPr>
        <w:spacing w:after="0" w:line="360" w:lineRule="auto"/>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Additionally, t</w:t>
      </w:r>
      <w:r>
        <w:rPr>
          <w:rFonts w:ascii="Times New Roman" w:hAnsi="Times New Roman" w:cs="Times New Roman"/>
          <w:color w:val="000000" w:themeColor="text1"/>
          <w:sz w:val="24"/>
          <w:szCs w:val="24"/>
        </w:rPr>
        <w:t xml:space="preserve">here is an increasing number of hospitals which will lead to more RTs needed. For example, the total hospitals in KSA was 270 MOH in 2017 hospitals and 284 hospitals in 2018, according to the MOH yearbook (p.41) statistics. The annual increase in the number of hospitals over the last five years indicate that the increase in the number of hospitals in the next five years. The increase in the number of hospitals will also increase the number of beds on both the general floor and ICU beds that will necessitate more RTs in both sections all the hospitals in the country.                    </w:t>
      </w:r>
    </w:p>
    <w:p w14:paraId="5FDC5BCB" w14:textId="77777777" w:rsidR="005842E4" w:rsidRDefault="005842E4" w:rsidP="006E34BB">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14:paraId="594CCCB9" w14:textId="69671AEA" w:rsidR="00DF3325" w:rsidRPr="00A51B54" w:rsidRDefault="00A51B54" w:rsidP="00A51B54">
      <w:pPr>
        <w:spacing w:line="360" w:lineRule="auto"/>
        <w:jc w:val="center"/>
        <w:rPr>
          <w:b/>
          <w:bCs/>
          <w:color w:val="000000" w:themeColor="text1"/>
        </w:rPr>
      </w:pPr>
      <w:r w:rsidRPr="00A51B54">
        <w:rPr>
          <w:b/>
          <w:bCs/>
          <w:color w:val="000000" w:themeColor="text1"/>
        </w:rPr>
        <w:lastRenderedPageBreak/>
        <w:t>Refences</w:t>
      </w:r>
    </w:p>
    <w:sectPr w:rsidR="00DF3325" w:rsidRPr="00A51B54" w:rsidSect="00D324DD">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A6EEE9" w14:textId="77777777" w:rsidR="00E90B67" w:rsidRDefault="00E90B67" w:rsidP="005842E4">
      <w:pPr>
        <w:spacing w:after="0" w:line="240" w:lineRule="auto"/>
      </w:pPr>
      <w:r>
        <w:separator/>
      </w:r>
    </w:p>
  </w:endnote>
  <w:endnote w:type="continuationSeparator" w:id="0">
    <w:p w14:paraId="469427F6" w14:textId="77777777" w:rsidR="00E90B67" w:rsidRDefault="00E90B67" w:rsidP="005842E4">
      <w:pPr>
        <w:spacing w:after="0" w:line="240" w:lineRule="auto"/>
      </w:pPr>
      <w:r>
        <w:continuationSeparator/>
      </w:r>
    </w:p>
  </w:endnote>
  <w:endnote w:id="1">
    <w:p w14:paraId="1B5A2A47" w14:textId="68A40B00" w:rsidR="005842E4" w:rsidRDefault="005842E4" w:rsidP="00A51B54">
      <w:pPr>
        <w:spacing w:line="240" w:lineRule="auto"/>
        <w:jc w:val="both"/>
        <w:rPr>
          <w:rFonts w:ascii="Times New Roman" w:hAnsi="Times New Roman" w:cs="Times New Roman"/>
          <w:sz w:val="20"/>
          <w:szCs w:val="20"/>
        </w:rPr>
      </w:pPr>
      <w:r>
        <w:rPr>
          <w:rFonts w:ascii="Times New Roman" w:hAnsi="Times New Roman" w:cs="Times New Roman"/>
          <w:sz w:val="20"/>
          <w:szCs w:val="20"/>
        </w:rPr>
        <w:t>Alotaibi, G. (2015). Status of respiratory care profession in Saudi Arabia: A national survey. </w:t>
      </w:r>
      <w:r>
        <w:rPr>
          <w:rFonts w:ascii="Times New Roman" w:hAnsi="Times New Roman" w:cs="Times New Roman"/>
          <w:i/>
          <w:iCs/>
          <w:sz w:val="20"/>
          <w:szCs w:val="20"/>
        </w:rPr>
        <w:t>Annals of thoracic medicine</w:t>
      </w:r>
      <w:r>
        <w:rPr>
          <w:rFonts w:ascii="Times New Roman" w:hAnsi="Times New Roman" w:cs="Times New Roman"/>
          <w:sz w:val="20"/>
          <w:szCs w:val="20"/>
        </w:rPr>
        <w:t>, </w:t>
      </w:r>
      <w:r>
        <w:rPr>
          <w:rFonts w:ascii="Times New Roman" w:hAnsi="Times New Roman" w:cs="Times New Roman"/>
          <w:i/>
          <w:iCs/>
          <w:sz w:val="20"/>
          <w:szCs w:val="20"/>
        </w:rPr>
        <w:t>10</w:t>
      </w:r>
      <w:r>
        <w:rPr>
          <w:rFonts w:ascii="Times New Roman" w:hAnsi="Times New Roman" w:cs="Times New Roman"/>
          <w:sz w:val="20"/>
          <w:szCs w:val="20"/>
        </w:rPr>
        <w:t xml:space="preserve">(1), 55-60. </w:t>
      </w:r>
    </w:p>
  </w:endnote>
  <w:endnote w:id="2">
    <w:p w14:paraId="6D14B404" w14:textId="77777777" w:rsidR="005842E4" w:rsidRDefault="005842E4" w:rsidP="00A51B54">
      <w:pPr>
        <w:pStyle w:val="EndnoteText"/>
        <w:spacing w:after="160"/>
        <w:jc w:val="both"/>
      </w:pPr>
      <w:r>
        <w:rPr>
          <w:rStyle w:val="EndnoteReference"/>
        </w:rPr>
        <w:endnoteRef/>
      </w:r>
      <w:r>
        <w:t xml:space="preserve"> Ball, J. (2010). </w:t>
      </w:r>
      <w:r>
        <w:rPr>
          <w:i/>
          <w:iCs/>
        </w:rPr>
        <w:t>Guidance on safe nurse staffing levels in the UK</w:t>
      </w:r>
      <w:r>
        <w:t xml:space="preserve"> RCN. </w:t>
      </w:r>
    </w:p>
  </w:endnote>
  <w:endnote w:id="3">
    <w:p w14:paraId="4E4AEF92" w14:textId="77777777" w:rsidR="005842E4" w:rsidRDefault="005842E4" w:rsidP="00A51B54">
      <w:pPr>
        <w:pStyle w:val="EndnoteText"/>
        <w:spacing w:after="160"/>
        <w:jc w:val="both"/>
      </w:pPr>
      <w:r>
        <w:rPr>
          <w:rStyle w:val="EndnoteReference"/>
        </w:rPr>
        <w:endnoteRef/>
      </w:r>
      <w:r>
        <w:t xml:space="preserve"> Griffiths, P., Saville, C., Ball, J., Jones, J., Pattison, N., Monks, T., &amp; Safer Nursing Care Study Group. (2020). Nursing workload, nurse staffing methodologies and tools: A systematic scoping review and discussion. </w:t>
      </w:r>
      <w:r>
        <w:rPr>
          <w:i/>
          <w:iCs/>
        </w:rPr>
        <w:t>International Journal of Nursing Studies</w:t>
      </w:r>
      <w:r>
        <w:t>, </w:t>
      </w:r>
      <w:r>
        <w:rPr>
          <w:i/>
          <w:iCs/>
        </w:rPr>
        <w:t>103</w:t>
      </w:r>
      <w:r>
        <w:t>, 103487. https://doi.org/10.1016/j.ijnurstu.2019.103487.</w:t>
      </w:r>
    </w:p>
  </w:endnote>
  <w:endnote w:id="4">
    <w:p w14:paraId="2BD58018" w14:textId="77777777" w:rsidR="005842E4" w:rsidRDefault="005842E4" w:rsidP="00A51B54">
      <w:pPr>
        <w:pStyle w:val="EndnoteText"/>
        <w:spacing w:after="160"/>
        <w:jc w:val="both"/>
      </w:pPr>
      <w:r>
        <w:rPr>
          <w:rStyle w:val="EndnoteReference"/>
        </w:rPr>
        <w:endnoteRef/>
      </w:r>
      <w:r>
        <w:t xml:space="preserve"> Griffiths, P., &amp; Saville, C. (2019). Tools &amp; systems to determine nurse staffing requirements: an evidence review. Health Work Research Group. https://eprints.soton.ac.uk/428284/1/Staffing_review_paper_pre_print_.pdf.</w:t>
      </w:r>
    </w:p>
  </w:endnote>
  <w:endnote w:id="5">
    <w:p w14:paraId="389FDA35" w14:textId="77777777" w:rsidR="005842E4" w:rsidRDefault="005842E4" w:rsidP="00A51B54">
      <w:pPr>
        <w:pStyle w:val="EndnoteText"/>
        <w:spacing w:after="160"/>
        <w:jc w:val="both"/>
      </w:pPr>
      <w:r>
        <w:rPr>
          <w:rStyle w:val="EndnoteReference"/>
        </w:rPr>
        <w:endnoteRef/>
      </w:r>
      <w:r>
        <w:t xml:space="preserve"> Hurst, K. (2003). Selecting and applying methods for estimating the size and mix of nursing teams. </w:t>
      </w:r>
      <w:r>
        <w:rPr>
          <w:i/>
          <w:iCs/>
        </w:rPr>
        <w:t>A systematic review of the literature commissioned by the Department of Health, April 2002</w:t>
      </w:r>
      <w:r>
        <w:t>. https://www.who.int/hrh/documents/hurst_mainreport.pdf.</w:t>
      </w:r>
    </w:p>
  </w:endnote>
  <w:endnote w:id="6">
    <w:p w14:paraId="6782F3A6" w14:textId="77777777" w:rsidR="005842E4" w:rsidRDefault="005842E4" w:rsidP="00A51B54">
      <w:pPr>
        <w:pStyle w:val="EndnoteText"/>
        <w:spacing w:after="160"/>
        <w:jc w:val="both"/>
      </w:pPr>
      <w:r>
        <w:rPr>
          <w:rStyle w:val="EndnoteReference"/>
        </w:rPr>
        <w:endnoteRef/>
      </w:r>
      <w:r>
        <w:t xml:space="preserve"> NHS Education for Scotland. (2013). Nursing and Midwifery Workload and Workforce Planning Learning Toolkit.</w:t>
      </w:r>
    </w:p>
  </w:endnote>
  <w:endnote w:id="7">
    <w:p w14:paraId="25CA23B0" w14:textId="77777777" w:rsidR="005842E4" w:rsidRDefault="005842E4" w:rsidP="00A51B54">
      <w:pPr>
        <w:pStyle w:val="EndnoteText"/>
        <w:spacing w:after="160"/>
        <w:jc w:val="both"/>
      </w:pPr>
      <w:r>
        <w:rPr>
          <w:rStyle w:val="EndnoteReference"/>
        </w:rPr>
        <w:endnoteRef/>
      </w:r>
      <w:r>
        <w:t xml:space="preserve"> Wells, A. (2007). </w:t>
      </w:r>
      <w:r>
        <w:rPr>
          <w:i/>
          <w:iCs/>
        </w:rPr>
        <w:t>Improving patient outcomes: A resource for ward leaders</w:t>
      </w:r>
      <w:r>
        <w:t>. M&amp;K Update Ltd.</w:t>
      </w:r>
    </w:p>
  </w:endnote>
  <w:endnote w:id="8">
    <w:p w14:paraId="56C7DE7E" w14:textId="77777777" w:rsidR="005842E4" w:rsidRDefault="005842E4" w:rsidP="00A51B54">
      <w:pPr>
        <w:pStyle w:val="EndnoteText"/>
        <w:spacing w:after="160"/>
        <w:jc w:val="both"/>
        <w:rPr>
          <w:u w:val="single"/>
        </w:rPr>
      </w:pPr>
      <w:r>
        <w:rPr>
          <w:rStyle w:val="EndnoteReference"/>
        </w:rPr>
        <w:endnoteRef/>
      </w:r>
      <w:r>
        <w:t xml:space="preserve"> Kingdom of Saudi Arabia. </w:t>
      </w:r>
      <w:r>
        <w:rPr>
          <w:i/>
        </w:rPr>
        <w:t>Vision</w:t>
      </w:r>
      <w:r>
        <w:rPr>
          <w:i/>
          <w:u w:val="single"/>
        </w:rPr>
        <w:t xml:space="preserve"> </w:t>
      </w:r>
      <w:r>
        <w:rPr>
          <w:i/>
        </w:rPr>
        <w:t>2030</w:t>
      </w:r>
      <w:r>
        <w:rPr>
          <w:i/>
          <w:u w:val="single"/>
        </w:rPr>
        <w:t>.</w:t>
      </w:r>
      <w:r>
        <w:t xml:space="preserve"> https://vision2030.gov.sa/en/node/68</w:t>
      </w:r>
    </w:p>
  </w:endnote>
  <w:endnote w:id="9">
    <w:p w14:paraId="4CAF7385" w14:textId="77777777" w:rsidR="005842E4" w:rsidRDefault="005842E4" w:rsidP="00A51B54">
      <w:pPr>
        <w:pStyle w:val="EndnoteText"/>
        <w:spacing w:after="160"/>
        <w:jc w:val="both"/>
      </w:pPr>
      <w:r>
        <w:rPr>
          <w:rStyle w:val="EndnoteReference"/>
        </w:rPr>
        <w:endnoteRef/>
      </w:r>
      <w:r>
        <w:rPr>
          <w:lang w:val="it-IT"/>
        </w:rPr>
        <w:t xml:space="preserve"> Alatawi, A. D., Niessen, L. W., &amp; Khan, J. A. (2020). </w:t>
      </w:r>
      <w:r>
        <w:t>Efficiency evaluation of public hospitals in Saudi Arabia: an application of data envelopment analysis. </w:t>
      </w:r>
      <w:r>
        <w:rPr>
          <w:i/>
          <w:iCs/>
        </w:rPr>
        <w:t>BMJ open</w:t>
      </w:r>
      <w:r>
        <w:t>, </w:t>
      </w:r>
      <w:r>
        <w:rPr>
          <w:i/>
          <w:iCs/>
        </w:rPr>
        <w:t>10</w:t>
      </w:r>
      <w:r>
        <w:t>(1), 1-10.</w:t>
      </w:r>
    </w:p>
  </w:endnote>
  <w:endnote w:id="10">
    <w:p w14:paraId="01EF96CD" w14:textId="77777777" w:rsidR="005842E4" w:rsidRDefault="005842E4" w:rsidP="00A51B54">
      <w:pPr>
        <w:pStyle w:val="EndnoteText"/>
        <w:spacing w:after="160"/>
        <w:jc w:val="both"/>
      </w:pPr>
      <w:r>
        <w:rPr>
          <w:rStyle w:val="EndnoteReference"/>
        </w:rPr>
        <w:endnoteRef/>
      </w:r>
      <w:r>
        <w:t xml:space="preserve"> Almalki, M., FitzGerald, G., &amp; Clark, M. (2011). Health care system in Saudi Arabia: an overview. </w:t>
      </w:r>
      <w:r>
        <w:rPr>
          <w:i/>
          <w:iCs/>
        </w:rPr>
        <w:t>Eastern Mediterranean Health Journal, 17</w:t>
      </w:r>
      <w:r>
        <w:t>(10), 784-793.</w:t>
      </w:r>
    </w:p>
  </w:endnote>
  <w:endnote w:id="11">
    <w:p w14:paraId="5F78F603" w14:textId="77777777" w:rsidR="005842E4" w:rsidRDefault="005842E4" w:rsidP="00A51B54">
      <w:pPr>
        <w:pStyle w:val="EndnoteText"/>
        <w:spacing w:after="160"/>
        <w:jc w:val="both"/>
      </w:pPr>
      <w:r>
        <w:rPr>
          <w:rStyle w:val="EndnoteReference"/>
        </w:rPr>
        <w:endnoteRef/>
      </w:r>
      <w:r>
        <w:t xml:space="preserve"> Alotaibi, G. (2015). Status of respiratory care….</w:t>
      </w:r>
    </w:p>
  </w:endnote>
  <w:endnote w:id="12">
    <w:p w14:paraId="3E82AC21" w14:textId="77777777" w:rsidR="005842E4" w:rsidRDefault="005842E4" w:rsidP="00A51B54">
      <w:pPr>
        <w:pStyle w:val="EndnoteText"/>
        <w:spacing w:after="160"/>
        <w:jc w:val="both"/>
        <w:rPr>
          <w:lang w:val="it-IT"/>
        </w:rPr>
      </w:pPr>
      <w:r>
        <w:rPr>
          <w:rStyle w:val="EndnoteReference"/>
        </w:rPr>
        <w:endnoteRef/>
      </w:r>
      <w:r>
        <w:rPr>
          <w:lang w:val="it-IT"/>
        </w:rPr>
        <w:t xml:space="preserve"> Alotaibi (2015).</w:t>
      </w:r>
    </w:p>
  </w:endnote>
  <w:endnote w:id="13">
    <w:p w14:paraId="36125311" w14:textId="77777777" w:rsidR="005842E4" w:rsidRDefault="005842E4" w:rsidP="00A51B54">
      <w:pPr>
        <w:pStyle w:val="EndnoteText"/>
        <w:spacing w:after="240"/>
        <w:jc w:val="both"/>
      </w:pPr>
      <w:r>
        <w:rPr>
          <w:rStyle w:val="EndnoteReference"/>
        </w:rPr>
        <w:endnoteRef/>
      </w:r>
      <w:r>
        <w:rPr>
          <w:lang w:val="it-IT"/>
        </w:rPr>
        <w:t xml:space="preserve"> Alotaibi, H. M., &amp; Al-Ahmari, M. D. (2016). </w:t>
      </w:r>
      <w:r>
        <w:t>The respiratory care profession in Saudi Arabia: Past and present. </w:t>
      </w:r>
      <w:r>
        <w:rPr>
          <w:i/>
          <w:iCs/>
        </w:rPr>
        <w:t>Annals of thoracic medicine</w:t>
      </w:r>
      <w:r>
        <w:t>, </w:t>
      </w:r>
      <w:r>
        <w:rPr>
          <w:i/>
          <w:iCs/>
        </w:rPr>
        <w:t>11</w:t>
      </w:r>
      <w:r>
        <w:t>(4), 237-242.</w:t>
      </w:r>
    </w:p>
  </w:endnote>
  <w:endnote w:id="14">
    <w:p w14:paraId="78098E49" w14:textId="77777777" w:rsidR="005842E4" w:rsidRDefault="005842E4" w:rsidP="00A51B54">
      <w:pPr>
        <w:pStyle w:val="EndnoteText"/>
        <w:spacing w:after="240"/>
        <w:jc w:val="both"/>
      </w:pPr>
      <w:r>
        <w:rPr>
          <w:rStyle w:val="EndnoteReference"/>
        </w:rPr>
        <w:endnoteRef/>
      </w:r>
      <w:r>
        <w:t xml:space="preserve"> Alotaibi, H. M., &amp; Al-Ahmari, M. D. (2016). The respiratory care profession in Saudi Arabia…</w:t>
      </w:r>
    </w:p>
  </w:endnote>
  <w:endnote w:id="15">
    <w:p w14:paraId="21A481EE" w14:textId="77777777" w:rsidR="005842E4" w:rsidRDefault="005842E4" w:rsidP="00A51B54">
      <w:pPr>
        <w:pStyle w:val="EndnoteText"/>
        <w:jc w:val="both"/>
      </w:pPr>
      <w:r>
        <w:rPr>
          <w:rStyle w:val="EndnoteReference"/>
        </w:rPr>
        <w:endnoteRef/>
      </w:r>
      <w:r>
        <w:t xml:space="preserve"> National Quality Board. (2019). Safe, sustainable and productive staffing. An improvement resource for the deployment of nursing associates in secondary care. </w:t>
      </w:r>
      <w:r>
        <w:rPr>
          <w:i/>
          <w:iCs/>
        </w:rPr>
        <w:t>British Journal of Healthcare Assistants</w:t>
      </w:r>
      <w:r>
        <w:t>, </w:t>
      </w:r>
      <w:r>
        <w:rPr>
          <w:i/>
          <w:iCs/>
        </w:rPr>
        <w:t>13</w:t>
      </w:r>
      <w:r>
        <w:t>(2), 61-65.</w:t>
      </w:r>
    </w:p>
  </w:endnote>
  <w:endnote w:id="16">
    <w:p w14:paraId="3F19413B" w14:textId="77777777" w:rsidR="005842E4" w:rsidRDefault="005842E4" w:rsidP="00A51B54">
      <w:pPr>
        <w:pStyle w:val="EndnoteText"/>
        <w:spacing w:after="240"/>
        <w:jc w:val="both"/>
      </w:pPr>
      <w:r>
        <w:rPr>
          <w:rStyle w:val="EndnoteReference"/>
        </w:rPr>
        <w:endnoteRef/>
      </w:r>
      <w:r>
        <w:t xml:space="preserve"> Batterjee Medical College. </w:t>
      </w:r>
      <w:r>
        <w:rPr>
          <w:i/>
        </w:rPr>
        <w:t>Respiratory Therapy Program</w:t>
      </w:r>
      <w:r>
        <w:t>. https://www.bmc.edu.sa/programs/program-list/314-respiratory-therapy-program.html.</w:t>
      </w:r>
    </w:p>
  </w:endnote>
  <w:endnote w:id="17">
    <w:p w14:paraId="46E84FFF" w14:textId="77777777" w:rsidR="005842E4" w:rsidRDefault="005842E4" w:rsidP="00A51B54">
      <w:pPr>
        <w:pStyle w:val="EndnoteText"/>
        <w:spacing w:after="240"/>
        <w:jc w:val="both"/>
      </w:pPr>
      <w:r>
        <w:rPr>
          <w:rStyle w:val="EndnoteReference"/>
        </w:rPr>
        <w:endnoteRef/>
      </w:r>
      <w:r>
        <w:t xml:space="preserve"> King Abdullah International Medical Research Center. Noninvasive ventilation in critically ill patients with the Middle East respiratory syndrome. </w:t>
      </w:r>
      <w:r>
        <w:rPr>
          <w:i/>
          <w:iCs/>
        </w:rPr>
        <w:t xml:space="preserve">Influenza and Other Respiratory Viruses. </w:t>
      </w:r>
      <w:r>
        <w:t xml:space="preserve">https://kaimrc.med.sa/?p=4601981. </w:t>
      </w:r>
    </w:p>
  </w:endnote>
  <w:endnote w:id="18">
    <w:p w14:paraId="5951C220" w14:textId="77777777" w:rsidR="005842E4" w:rsidRDefault="005842E4" w:rsidP="00A51B54">
      <w:pPr>
        <w:pStyle w:val="EndnoteText"/>
        <w:spacing w:after="240"/>
        <w:jc w:val="both"/>
        <w:rPr>
          <w:u w:val="single"/>
        </w:rPr>
      </w:pPr>
      <w:r>
        <w:rPr>
          <w:rStyle w:val="EndnoteReference"/>
        </w:rPr>
        <w:endnoteRef/>
      </w:r>
      <w:r>
        <w:t xml:space="preserve"> Almalki, M., FitzGerald, G., &amp; Clark, M. (2011). Health care system in Saudi Arabia: an overview. </w:t>
      </w:r>
      <w:r>
        <w:rPr>
          <w:i/>
        </w:rPr>
        <w:t>East Mediterr Health J, 17</w:t>
      </w:r>
      <w:r>
        <w:t>(10):784-93.</w:t>
      </w:r>
    </w:p>
  </w:endnote>
  <w:endnote w:id="19">
    <w:p w14:paraId="30913352" w14:textId="77777777" w:rsidR="005842E4" w:rsidRDefault="005842E4" w:rsidP="00A51B54">
      <w:pPr>
        <w:pStyle w:val="EndnoteText"/>
        <w:spacing w:after="240"/>
        <w:jc w:val="both"/>
        <w:rPr>
          <w:u w:val="single"/>
        </w:rPr>
      </w:pPr>
      <w:r>
        <w:rPr>
          <w:rStyle w:val="EndnoteReference"/>
        </w:rPr>
        <w:endnoteRef/>
      </w:r>
      <w:r>
        <w:t xml:space="preserve"> World Health Organization. (2017). Middle East respiratory syndrome coronavirus (MERS-CoV) – Saudi Arabia. https://www.who.int/csr/don/13-june-2017-mers-saudi-arabia/en/.</w:t>
      </w:r>
    </w:p>
  </w:endnote>
  <w:endnote w:id="20">
    <w:p w14:paraId="4D6AA7A1" w14:textId="77777777" w:rsidR="005842E4" w:rsidRDefault="005842E4" w:rsidP="00A51B54">
      <w:pPr>
        <w:pStyle w:val="EndnoteText"/>
        <w:spacing w:after="240"/>
        <w:jc w:val="both"/>
        <w:rPr>
          <w:u w:val="single"/>
        </w:rPr>
      </w:pPr>
      <w:r>
        <w:rPr>
          <w:rStyle w:val="EndnoteReference"/>
        </w:rPr>
        <w:endnoteRef/>
      </w:r>
      <w:r>
        <w:t xml:space="preserve"> World Health Organization. (2019). </w:t>
      </w:r>
      <w:r>
        <w:rPr>
          <w:i/>
          <w:iCs/>
        </w:rPr>
        <w:t>Clinical management of severe acute respiratory infection when Middle East respiratory syndrome coronavirus (</w:t>
      </w:r>
      <w:r>
        <w:rPr>
          <w:i/>
          <w:iCs/>
          <w:cs/>
        </w:rPr>
        <w:t>‎</w:t>
      </w:r>
      <w:r>
        <w:rPr>
          <w:i/>
          <w:iCs/>
        </w:rPr>
        <w:t xml:space="preserve"> MERS-CoV)</w:t>
      </w:r>
      <w:r>
        <w:rPr>
          <w:i/>
          <w:iCs/>
          <w:cs/>
        </w:rPr>
        <w:t>‎</w:t>
      </w:r>
      <w:r>
        <w:rPr>
          <w:i/>
          <w:iCs/>
        </w:rPr>
        <w:t xml:space="preserve"> infection is suspected: interim guidance</w:t>
      </w:r>
      <w:r>
        <w:t xml:space="preserve"> (No. WHO/MERS/Clinical/15.1 Revision 1). World Health Organization. </w:t>
      </w:r>
    </w:p>
  </w:endnote>
  <w:endnote w:id="21">
    <w:p w14:paraId="0FADB956" w14:textId="77777777" w:rsidR="005842E4" w:rsidRDefault="005842E4" w:rsidP="00A51B54">
      <w:pPr>
        <w:pStyle w:val="EndnoteText"/>
        <w:jc w:val="both"/>
      </w:pPr>
      <w:r>
        <w:rPr>
          <w:rStyle w:val="EndnoteReference"/>
        </w:rPr>
        <w:endnoteRef/>
      </w:r>
      <w:r>
        <w:t xml:space="preserve"> Sulayyim, H. J., Khorshid, S. M., &amp; Al Moummar, S. H. (2020). Demographic, clinical, and outcomes of confirmed cases of Middle East Respiratory Syndrome coronavirus (MERS-CoV) in Najran, Kingdom of Saudi Arabia (KSA); A retrospective record-based study. </w:t>
      </w:r>
      <w:r>
        <w:rPr>
          <w:i/>
          <w:iCs/>
        </w:rPr>
        <w:t>Journal of Infection and Public Health</w:t>
      </w:r>
      <w:r>
        <w:t>. https://doi.org/10.1016/j.jiph.2020.04.007.</w:t>
      </w:r>
    </w:p>
    <w:p w14:paraId="16ABD6A9" w14:textId="77777777" w:rsidR="005842E4" w:rsidRDefault="005842E4" w:rsidP="00A51B54">
      <w:pPr>
        <w:pStyle w:val="EndnoteText"/>
        <w:jc w:val="both"/>
      </w:pPr>
    </w:p>
  </w:endnote>
  <w:endnote w:id="22">
    <w:p w14:paraId="5956D0A2" w14:textId="77777777" w:rsidR="005842E4" w:rsidRDefault="005842E4" w:rsidP="00A51B54">
      <w:pPr>
        <w:pStyle w:val="EndnoteText"/>
        <w:jc w:val="both"/>
      </w:pPr>
      <w:r>
        <w:rPr>
          <w:rStyle w:val="EndnoteReference"/>
        </w:rPr>
        <w:endnoteRef/>
      </w:r>
      <w:r>
        <w:t xml:space="preserve"> Petersen, E., Pollack, M. M., &amp; Madoff, L. C. (2014). Healthcare associate transmission of Middle East respiratory syndrome corona virus, MERS-CoV, in the Kingdom of Saudi Arabia. </w:t>
      </w:r>
      <w:r>
        <w:rPr>
          <w:i/>
          <w:iCs/>
        </w:rPr>
        <w:t>International Journal of Infectious Diseases</w:t>
      </w:r>
      <w:r>
        <w:t>, </w:t>
      </w:r>
      <w:r>
        <w:rPr>
          <w:i/>
          <w:iCs/>
        </w:rPr>
        <w:t>29</w:t>
      </w:r>
      <w:r>
        <w:t>, 299-300.</w:t>
      </w:r>
    </w:p>
    <w:p w14:paraId="728EBC60" w14:textId="77777777" w:rsidR="005842E4" w:rsidRDefault="005842E4" w:rsidP="00A51B54">
      <w:pPr>
        <w:pStyle w:val="EndnoteText"/>
        <w:jc w:val="both"/>
        <w:rPr>
          <w:u w:val="single"/>
        </w:rPr>
      </w:pPr>
    </w:p>
  </w:endnote>
  <w:endnote w:id="23">
    <w:p w14:paraId="68DDB3CC" w14:textId="77777777" w:rsidR="005842E4" w:rsidRDefault="005842E4" w:rsidP="00A51B54">
      <w:pPr>
        <w:pStyle w:val="EndnoteText"/>
        <w:jc w:val="both"/>
      </w:pPr>
      <w:r>
        <w:rPr>
          <w:rStyle w:val="EndnoteReference"/>
        </w:rPr>
        <w:endnoteRef/>
      </w:r>
      <w:r>
        <w:t xml:space="preserve"> Shalhoub, S., Al-Hameed, F., Mandourah, Y., Balkhy, H. H., Al-Omari, A., Al Mekhlafi, G. A., ... &amp; Abdulmomen, A. (2018). Critically ill healthcare workers with the middle east respiratory syndrome (MERS): A multicenter study. </w:t>
      </w:r>
      <w:r>
        <w:rPr>
          <w:i/>
          <w:iCs/>
        </w:rPr>
        <w:t>PloS one</w:t>
      </w:r>
      <w:r>
        <w:t>, </w:t>
      </w:r>
      <w:r>
        <w:rPr>
          <w:i/>
          <w:iCs/>
        </w:rPr>
        <w:t>13</w:t>
      </w:r>
      <w:r>
        <w:t>(11).</w:t>
      </w:r>
    </w:p>
    <w:p w14:paraId="1C477BF1" w14:textId="77777777" w:rsidR="005842E4" w:rsidRDefault="005842E4" w:rsidP="00A51B54">
      <w:pPr>
        <w:pStyle w:val="EndnoteText"/>
        <w:jc w:val="both"/>
      </w:pPr>
    </w:p>
  </w:endnote>
  <w:endnote w:id="24">
    <w:p w14:paraId="7D6A966D" w14:textId="77777777" w:rsidR="005842E4" w:rsidRDefault="005842E4" w:rsidP="00A51B54">
      <w:pPr>
        <w:pStyle w:val="EndnoteText"/>
        <w:spacing w:after="240"/>
        <w:jc w:val="both"/>
      </w:pPr>
      <w:r>
        <w:rPr>
          <w:rStyle w:val="EndnoteReference"/>
        </w:rPr>
        <w:endnoteRef/>
      </w:r>
      <w:r>
        <w:t xml:space="preserve"> Alraddadi, B. M., Al-Salmi, H. S., Jacobs-Slifka, K., Slayton, R. B., Estivariz, C. F., Geller, A. I., ... &amp; Alshukairi, A. N. (2016). Risk factors for Middle East respiratory syndrome coronavirus infection among healthcare personnel. </w:t>
      </w:r>
      <w:r>
        <w:rPr>
          <w:i/>
          <w:iCs/>
        </w:rPr>
        <w:t>Emerging infectious diseases</w:t>
      </w:r>
      <w:r>
        <w:t>, </w:t>
      </w:r>
      <w:r>
        <w:rPr>
          <w:i/>
          <w:iCs/>
        </w:rPr>
        <w:t>22</w:t>
      </w:r>
      <w:r>
        <w:t>(11), 1915-1920.</w:t>
      </w:r>
    </w:p>
  </w:endnote>
  <w:endnote w:id="25">
    <w:p w14:paraId="7D19D78B" w14:textId="77777777" w:rsidR="005842E4" w:rsidRDefault="005842E4" w:rsidP="00A51B54">
      <w:pPr>
        <w:pStyle w:val="EndnoteText"/>
        <w:spacing w:after="240"/>
        <w:jc w:val="both"/>
      </w:pPr>
      <w:r>
        <w:rPr>
          <w:rStyle w:val="EndnoteReference"/>
        </w:rPr>
        <w:endnoteRef/>
      </w:r>
      <w:r>
        <w:t xml:space="preserve"> Assiri, A. M., Biggs, H. M., Abedi, G. R., Lu, X., Bin Saeed, A., Abdalla, O., ... &amp; Almasri, M. M. (2016, May). Increase in Middle East respiratory syndrome-coronavirus cases in Saudi Arabia linked to hospital outbreak with continued circulation of recombinant virus, July 1–August 31, 2015. In </w:t>
      </w:r>
      <w:r>
        <w:rPr>
          <w:i/>
          <w:iCs/>
        </w:rPr>
        <w:t>Open forum infectious diseases</w:t>
      </w:r>
      <w:r>
        <w:t> (Vol. 3, No. 3). Oxford University Press.</w:t>
      </w:r>
    </w:p>
  </w:endnote>
  <w:endnote w:id="26">
    <w:p w14:paraId="636EEAC0" w14:textId="77777777" w:rsidR="005842E4" w:rsidRDefault="005842E4" w:rsidP="00A51B54">
      <w:pPr>
        <w:pStyle w:val="EndnoteText"/>
        <w:spacing w:after="240"/>
        <w:jc w:val="both"/>
        <w:rPr>
          <w:u w:val="single"/>
        </w:rPr>
      </w:pPr>
      <w:r>
        <w:rPr>
          <w:rStyle w:val="EndnoteReference"/>
        </w:rPr>
        <w:endnoteRef/>
      </w:r>
      <w:r>
        <w:rPr>
          <w:lang w:val="it-IT"/>
        </w:rPr>
        <w:t xml:space="preserve"> Abolfotouh, M. A., AlQarni, A. A., Al-Ghamdi, S. M., Salam, M., Al-Assiri, M. H., &amp; Balkhy, H. H. (2017). </w:t>
      </w:r>
      <w:r>
        <w:t xml:space="preserve">An assessment of the level of concern among hospital-based healthcare workers regarding MERS outbreaks in Saudi Arabia. </w:t>
      </w:r>
      <w:r>
        <w:rPr>
          <w:i/>
          <w:iCs/>
        </w:rPr>
        <w:t>BMC infectious diseases</w:t>
      </w:r>
      <w:r>
        <w:t>, </w:t>
      </w:r>
      <w:r>
        <w:rPr>
          <w:i/>
          <w:iCs/>
        </w:rPr>
        <w:t>17</w:t>
      </w:r>
      <w:r>
        <w:t>(4). https://bmcinfectdis.biomedcentral.com/articles/10.1186/s12879-016-2096-8.</w:t>
      </w:r>
    </w:p>
  </w:endnote>
  <w:endnote w:id="27">
    <w:p w14:paraId="3130C050" w14:textId="77777777" w:rsidR="005842E4" w:rsidRDefault="005842E4" w:rsidP="00A51B54">
      <w:pPr>
        <w:pStyle w:val="EndnoteText"/>
        <w:spacing w:after="240"/>
        <w:jc w:val="both"/>
      </w:pPr>
      <w:r>
        <w:rPr>
          <w:rStyle w:val="EndnoteReference"/>
        </w:rPr>
        <w:endnoteRef/>
      </w:r>
      <w:r>
        <w:t xml:space="preserve"> Assiri, A., Abedi, G. R., Saeed, A. A. B., Abdalla, M. A., al-Masry, M., Choudhry, A. J., ... &amp; Rudd, J. (2016). Multifacility outbreak of middle east respiratory syndrome in Taif, saudi Arabia. </w:t>
      </w:r>
      <w:r>
        <w:rPr>
          <w:i/>
          <w:iCs/>
        </w:rPr>
        <w:t>Emerging infectious diseases</w:t>
      </w:r>
      <w:r>
        <w:t>, </w:t>
      </w:r>
      <w:r>
        <w:rPr>
          <w:i/>
          <w:iCs/>
        </w:rPr>
        <w:t>22</w:t>
      </w:r>
      <w:r>
        <w:t>(1), 32.</w:t>
      </w:r>
    </w:p>
  </w:endnote>
  <w:endnote w:id="28">
    <w:p w14:paraId="364E7A81" w14:textId="77777777" w:rsidR="005842E4" w:rsidRDefault="005842E4" w:rsidP="00A51B54">
      <w:pPr>
        <w:pStyle w:val="EndnoteText"/>
        <w:spacing w:after="240"/>
        <w:jc w:val="both"/>
        <w:rPr>
          <w:u w:val="single"/>
        </w:rPr>
      </w:pPr>
      <w:r>
        <w:rPr>
          <w:rStyle w:val="EndnoteReference"/>
        </w:rPr>
        <w:endnoteRef/>
      </w:r>
      <w:r>
        <w:t xml:space="preserve"> Al-Dorzi, H. M., Aldawood, A. S., Khan, R., Baharoon, S., Alchin, J. D., Matroud, A. A., ... &amp; Arabi, Y. M. (2016). The critical care response to a hospital outbreak of Middle East respiratory syndrome coronavirus (MERS-CoV) infection: an observational study. </w:t>
      </w:r>
      <w:r>
        <w:rPr>
          <w:i/>
          <w:iCs/>
        </w:rPr>
        <w:t>Annals of intensive care</w:t>
      </w:r>
      <w:r>
        <w:t>, </w:t>
      </w:r>
      <w:r>
        <w:rPr>
          <w:i/>
          <w:iCs/>
        </w:rPr>
        <w:t>6</w:t>
      </w:r>
      <w:r>
        <w:t>(1), 101.</w:t>
      </w:r>
    </w:p>
  </w:endnote>
  <w:endnote w:id="29">
    <w:p w14:paraId="7BBE7E9A" w14:textId="77777777" w:rsidR="005842E4" w:rsidRDefault="005842E4" w:rsidP="00A51B54">
      <w:pPr>
        <w:pStyle w:val="EndnoteText"/>
        <w:spacing w:after="240"/>
        <w:jc w:val="both"/>
      </w:pPr>
      <w:r>
        <w:rPr>
          <w:rStyle w:val="EndnoteReference"/>
        </w:rPr>
        <w:endnoteRef/>
      </w:r>
      <w:r>
        <w:t xml:space="preserve"> Balkhy, H. H., Alenazi, T. H., Alshamrani, M. M., Baffoe-Bonnie, H., Arabi, Y., Hijazi, R., ... &amp; Bin Saeed, A. (2016). Description of a hospital outbreak of Middle East respiratory syndrome in a large tertiary care hospital in Saudi Arabia. </w:t>
      </w:r>
      <w:r>
        <w:rPr>
          <w:i/>
          <w:iCs/>
        </w:rPr>
        <w:t>infection control &amp; hospital epidemiology</w:t>
      </w:r>
      <w:r>
        <w:t>, </w:t>
      </w:r>
      <w:r>
        <w:rPr>
          <w:i/>
          <w:iCs/>
        </w:rPr>
        <w:t>37</w:t>
      </w:r>
      <w:r>
        <w:t xml:space="preserve">(10), 1147-1155.    </w:t>
      </w:r>
    </w:p>
  </w:endnote>
  <w:endnote w:id="30">
    <w:p w14:paraId="560BCEAF" w14:textId="77777777" w:rsidR="005842E4" w:rsidRDefault="005842E4" w:rsidP="00A51B54">
      <w:pPr>
        <w:pStyle w:val="EndnoteText"/>
        <w:spacing w:after="240"/>
        <w:jc w:val="both"/>
      </w:pPr>
      <w:r>
        <w:rPr>
          <w:rStyle w:val="EndnoteReference"/>
        </w:rPr>
        <w:endnoteRef/>
      </w:r>
      <w:r>
        <w:t xml:space="preserve"> Worldometer.info. Saudi Arabia: Corona virus cases. Accessed May 14, 2020. https://www.worldometers.info/coronavirus/country/saudi-arabia/</w:t>
      </w:r>
    </w:p>
  </w:endnote>
  <w:endnote w:id="31">
    <w:p w14:paraId="1E04E96A" w14:textId="77777777" w:rsidR="005842E4" w:rsidRDefault="005842E4" w:rsidP="00A51B54">
      <w:pPr>
        <w:pStyle w:val="EndnoteText"/>
        <w:spacing w:after="240"/>
        <w:jc w:val="both"/>
      </w:pPr>
      <w:r>
        <w:rPr>
          <w:rStyle w:val="EndnoteReference"/>
        </w:rPr>
        <w:endnoteRef/>
      </w:r>
      <w:r>
        <w:t xml:space="preserve"> Whittle, J. S., Pavlov, I., Sacchetti, A. D., Atwood, C., &amp; Rosenberg, M. S. (2020). Respiratory Support for Adult Patients with COVID‐19. </w:t>
      </w:r>
      <w:r>
        <w:rPr>
          <w:i/>
          <w:iCs/>
        </w:rPr>
        <w:t>Journal of the American College of Emergency Physicians Open</w:t>
      </w:r>
      <w:r>
        <w:t xml:space="preserve">. </w:t>
      </w:r>
    </w:p>
  </w:endnote>
  <w:endnote w:id="32">
    <w:p w14:paraId="3D7B592E" w14:textId="77777777" w:rsidR="005842E4" w:rsidRDefault="005842E4" w:rsidP="00A51B54">
      <w:pPr>
        <w:pStyle w:val="EndnoteText"/>
        <w:spacing w:after="240"/>
        <w:jc w:val="both"/>
        <w:rPr>
          <w:b/>
          <w:bCs/>
          <w:u w:val="single"/>
        </w:rPr>
      </w:pPr>
      <w:r>
        <w:rPr>
          <w:rStyle w:val="EndnoteReference"/>
        </w:rPr>
        <w:endnoteRef/>
      </w:r>
      <w:r>
        <w:t xml:space="preserve"> Clinical Center, America’s Research Hospital. Critical Care Medicine Department: Critical Care Therapy and Respiratory Care Section (CCTRCS). https://clinicalcenter.nih.gov/ccmd/services/cctrcs.html.</w:t>
      </w:r>
    </w:p>
  </w:endnote>
  <w:endnote w:id="33">
    <w:p w14:paraId="4019131A" w14:textId="77777777" w:rsidR="005842E4" w:rsidRDefault="005842E4" w:rsidP="00A51B54">
      <w:pPr>
        <w:pStyle w:val="EndnoteText"/>
        <w:spacing w:after="240"/>
        <w:jc w:val="both"/>
        <w:rPr>
          <w:u w:val="single"/>
        </w:rPr>
      </w:pPr>
      <w:r>
        <w:rPr>
          <w:rStyle w:val="EndnoteReference"/>
        </w:rPr>
        <w:endnoteRef/>
      </w:r>
      <w:r>
        <w:t xml:space="preserve"> Healthline. (n. d). What Is a Respiratory Therapist? https://www.healthline.com/health/what-is-a-respiratory-therapist.</w:t>
      </w:r>
    </w:p>
  </w:endnote>
  <w:endnote w:id="34">
    <w:p w14:paraId="1CFE9AAC" w14:textId="77777777" w:rsidR="005842E4" w:rsidRDefault="005842E4" w:rsidP="00A51B54">
      <w:pPr>
        <w:pStyle w:val="EndnoteText"/>
        <w:spacing w:after="240"/>
        <w:jc w:val="both"/>
        <w:rPr>
          <w:u w:val="single"/>
        </w:rPr>
      </w:pPr>
      <w:r>
        <w:rPr>
          <w:rStyle w:val="EndnoteReference"/>
        </w:rPr>
        <w:endnoteRef/>
      </w:r>
      <w:r>
        <w:t xml:space="preserve"> Johns Hopkins Medicine. </w:t>
      </w:r>
      <w:r>
        <w:rPr>
          <w:i/>
        </w:rPr>
        <w:t>Pulmonary Function Tests.</w:t>
      </w:r>
      <w:r>
        <w:t xml:space="preserve"> https://www.hopkinsmedicine.org/health/treatment-tests-and-therapies/pulmonary-function-tests.</w:t>
      </w:r>
    </w:p>
  </w:endnote>
  <w:endnote w:id="35">
    <w:p w14:paraId="6E80843C" w14:textId="77777777" w:rsidR="005842E4" w:rsidRDefault="005842E4" w:rsidP="00A51B54">
      <w:pPr>
        <w:pStyle w:val="EndnoteText"/>
        <w:spacing w:after="240"/>
        <w:jc w:val="both"/>
      </w:pPr>
      <w:r>
        <w:rPr>
          <w:rStyle w:val="EndnoteReference"/>
        </w:rPr>
        <w:endnoteRef/>
      </w:r>
      <w:r>
        <w:t xml:space="preserve"> Woods, C. E., Usher, K. J., Jersmann, H., &amp; Maguire, G. P. (2014). Sleep disordered breathing and polysomnography in Australia: trends in provision from 2005 to 2012 and the impact of home-based diagnosis. </w:t>
      </w:r>
      <w:r>
        <w:rPr>
          <w:i/>
          <w:iCs/>
        </w:rPr>
        <w:t>Journal of Clinical Sleep Medicine</w:t>
      </w:r>
      <w:r>
        <w:t>, </w:t>
      </w:r>
      <w:r>
        <w:rPr>
          <w:i/>
          <w:iCs/>
        </w:rPr>
        <w:t>10</w:t>
      </w:r>
      <w:r>
        <w:t>(07), 767-772.</w:t>
      </w:r>
    </w:p>
  </w:endnote>
  <w:endnote w:id="36">
    <w:p w14:paraId="535DE423" w14:textId="77777777" w:rsidR="005842E4" w:rsidRDefault="005842E4" w:rsidP="00A51B54">
      <w:pPr>
        <w:pStyle w:val="EndnoteText"/>
        <w:spacing w:after="240"/>
        <w:jc w:val="both"/>
      </w:pPr>
      <w:r>
        <w:rPr>
          <w:rStyle w:val="EndnoteReference"/>
        </w:rPr>
        <w:endnoteRef/>
      </w:r>
      <w:r>
        <w:t xml:space="preserve"> Clarke, B. T. (2016). home care in respiratory therapy. </w:t>
      </w:r>
      <w:r>
        <w:rPr>
          <w:i/>
          <w:iCs/>
        </w:rPr>
        <w:t>Canadian journal of respiratory therapy: CJRT= Revue canadienne de la therapie respiratoire: RCTR</w:t>
      </w:r>
      <w:r>
        <w:t>, </w:t>
      </w:r>
      <w:r>
        <w:rPr>
          <w:i/>
          <w:iCs/>
        </w:rPr>
        <w:t>52</w:t>
      </w:r>
      <w:r>
        <w:t xml:space="preserve">(2), 51-52.    </w:t>
      </w:r>
    </w:p>
  </w:endnote>
  <w:endnote w:id="37">
    <w:p w14:paraId="5405F3BF" w14:textId="77777777" w:rsidR="005842E4" w:rsidRDefault="005842E4" w:rsidP="00A51B54">
      <w:pPr>
        <w:pStyle w:val="EndnoteText"/>
        <w:spacing w:after="240"/>
        <w:jc w:val="both"/>
      </w:pPr>
      <w:r>
        <w:rPr>
          <w:rStyle w:val="EndnoteReference"/>
        </w:rPr>
        <w:endnoteRef/>
      </w:r>
      <w:r>
        <w:t xml:space="preserve"> Carlin, B. W. (2009). Pulmonary rehabilitation and chronic lung disease: opportunities for the respiratory therapist. </w:t>
      </w:r>
      <w:r>
        <w:rPr>
          <w:i/>
          <w:iCs/>
        </w:rPr>
        <w:t>Respiratory care</w:t>
      </w:r>
      <w:r>
        <w:t>, </w:t>
      </w:r>
      <w:r>
        <w:rPr>
          <w:i/>
          <w:iCs/>
        </w:rPr>
        <w:t>54</w:t>
      </w:r>
      <w:r>
        <w:t xml:space="preserve">(8), 1091-1099. </w:t>
      </w:r>
    </w:p>
  </w:endnote>
  <w:endnote w:id="38">
    <w:p w14:paraId="0364C8D9" w14:textId="77777777" w:rsidR="005842E4" w:rsidRDefault="005842E4" w:rsidP="00A51B54">
      <w:pPr>
        <w:pStyle w:val="EndnoteText"/>
        <w:spacing w:after="240"/>
        <w:jc w:val="both"/>
      </w:pPr>
      <w:r>
        <w:rPr>
          <w:rStyle w:val="EndnoteReference"/>
        </w:rPr>
        <w:endnoteRef/>
      </w:r>
      <w:r>
        <w:t xml:space="preserve"> Ball, J. (2010). </w:t>
      </w:r>
      <w:r>
        <w:rPr>
          <w:i/>
          <w:iCs/>
        </w:rPr>
        <w:t>Guidance on safe nurse staffing levels in the UK</w:t>
      </w:r>
    </w:p>
  </w:endnote>
  <w:endnote w:id="39">
    <w:p w14:paraId="4C79D3DF" w14:textId="77777777" w:rsidR="005842E4" w:rsidRDefault="005842E4" w:rsidP="00A51B54">
      <w:pPr>
        <w:pStyle w:val="EndnoteText"/>
        <w:spacing w:after="240"/>
        <w:jc w:val="both"/>
        <w:rPr>
          <w:u w:val="single"/>
        </w:rPr>
      </w:pPr>
      <w:r>
        <w:rPr>
          <w:rStyle w:val="EndnoteReference"/>
        </w:rPr>
        <w:endnoteRef/>
      </w:r>
      <w:r>
        <w:t xml:space="preserve"> Shrewbury and Telford Hospital. Safe staffing levels. https://www.sath.nhs.uk/about-us/our-performance/safe-staffing/</w:t>
      </w:r>
    </w:p>
  </w:endnote>
  <w:endnote w:id="40">
    <w:p w14:paraId="78C1DDD6" w14:textId="77777777" w:rsidR="005842E4" w:rsidRDefault="005842E4" w:rsidP="00A51B54">
      <w:pPr>
        <w:pStyle w:val="EndnoteText"/>
        <w:spacing w:after="240"/>
        <w:jc w:val="both"/>
        <w:rPr>
          <w:u w:val="single"/>
        </w:rPr>
      </w:pPr>
      <w:r>
        <w:rPr>
          <w:rStyle w:val="EndnoteReference"/>
        </w:rPr>
        <w:endnoteRef/>
      </w:r>
      <w:r>
        <w:t xml:space="preserve"> Scott, C. (2003). </w:t>
      </w:r>
      <w:r>
        <w:rPr>
          <w:i/>
          <w:iCs/>
        </w:rPr>
        <w:t>Setting safe nurse staffing levels: An exploration of the issues</w:t>
      </w:r>
      <w:r>
        <w:t>. Royal College of Nursing.</w:t>
      </w:r>
    </w:p>
  </w:endnote>
  <w:endnote w:id="41">
    <w:p w14:paraId="4068540D" w14:textId="77777777" w:rsidR="005842E4" w:rsidRDefault="005842E4" w:rsidP="00A51B54">
      <w:pPr>
        <w:pStyle w:val="EndnoteText"/>
        <w:spacing w:after="240"/>
        <w:jc w:val="both"/>
        <w:rPr>
          <w:u w:val="single"/>
        </w:rPr>
      </w:pPr>
      <w:r>
        <w:rPr>
          <w:rStyle w:val="EndnoteReference"/>
        </w:rPr>
        <w:endnoteRef/>
      </w:r>
      <w:r>
        <w:t xml:space="preserve"> MOH (2018). Statistical workbook. https://www.moh.gov.sa/en/Ministry/Statistics/book/Documents/book-Statistics.pdf.</w:t>
      </w:r>
    </w:p>
  </w:endnote>
  <w:endnote w:id="42">
    <w:p w14:paraId="7D6D538E" w14:textId="77777777" w:rsidR="005842E4" w:rsidRDefault="005842E4" w:rsidP="00A51B54">
      <w:pPr>
        <w:pStyle w:val="EndnoteText"/>
        <w:spacing w:after="240"/>
        <w:jc w:val="both"/>
      </w:pPr>
      <w:r>
        <w:rPr>
          <w:rStyle w:val="EndnoteReference"/>
        </w:rPr>
        <w:endnoteRef/>
      </w:r>
      <w:r>
        <w:t xml:space="preserve"> Alotaibi, (2015) …</w:t>
      </w:r>
    </w:p>
  </w:endnote>
  <w:endnote w:id="43">
    <w:p w14:paraId="662B70CF" w14:textId="77777777" w:rsidR="005842E4" w:rsidRDefault="005842E4" w:rsidP="00A51B54">
      <w:pPr>
        <w:pStyle w:val="EndnoteText"/>
        <w:spacing w:after="240"/>
        <w:jc w:val="both"/>
      </w:pPr>
      <w:r>
        <w:rPr>
          <w:rStyle w:val="EndnoteReference"/>
        </w:rPr>
        <w:endnoteRef/>
      </w:r>
      <w:r>
        <w:t xml:space="preserve"> West, A. J., Nickerson, J., Breau, G., Mai, P., &amp; Dolgowicz, C. (2016). Staffing patterns of respiratory therapists in critical care units of Canadian teaching hospitals. </w:t>
      </w:r>
      <w:r>
        <w:rPr>
          <w:i/>
          <w:iCs/>
        </w:rPr>
        <w:t>Canadian journal of respiratory therapy: CJRT= Revue canadienne de la therapie respiratoire: RCTR</w:t>
      </w:r>
      <w:r>
        <w:t>, </w:t>
      </w:r>
      <w:r>
        <w:rPr>
          <w:i/>
          <w:iCs/>
        </w:rPr>
        <w:t>52</w:t>
      </w:r>
      <w:r>
        <w:t>(3), 75-80.</w:t>
      </w:r>
    </w:p>
  </w:endnote>
  <w:endnote w:id="44">
    <w:p w14:paraId="2B93A9B7" w14:textId="77777777" w:rsidR="005842E4" w:rsidRDefault="005842E4" w:rsidP="00A51B54">
      <w:pPr>
        <w:pStyle w:val="EndnoteText"/>
        <w:spacing w:after="240"/>
        <w:jc w:val="both"/>
      </w:pPr>
      <w:r>
        <w:rPr>
          <w:rStyle w:val="EndnoteReference"/>
        </w:rPr>
        <w:endnoteRef/>
      </w:r>
      <w:r>
        <w:t xml:space="preserve"> MOH (2018). Statistical workbook.</w:t>
      </w:r>
    </w:p>
  </w:endnote>
  <w:endnote w:id="45">
    <w:p w14:paraId="5AE29643" w14:textId="77777777" w:rsidR="005842E4" w:rsidRDefault="005842E4" w:rsidP="00A51B54">
      <w:pPr>
        <w:pStyle w:val="EndnoteText"/>
        <w:spacing w:after="240"/>
        <w:jc w:val="both"/>
        <w:rPr>
          <w:u w:val="single"/>
        </w:rPr>
      </w:pPr>
      <w:r>
        <w:rPr>
          <w:rStyle w:val="EndnoteReference"/>
        </w:rPr>
        <w:endnoteRef/>
      </w:r>
      <w:r>
        <w:rPr>
          <w:lang w:val="it-IT"/>
        </w:rPr>
        <w:t xml:space="preserve"> Li, J., Zhan, Q. Y., Liang, Z. A., Tu, M. L., Sun, B., Yao, X. L., ... </w:t>
      </w:r>
      <w:r>
        <w:t>&amp; Wang, C. (2012). Respiratory care practices and requirements for respiratory therapists in Beijing intensive care units. </w:t>
      </w:r>
      <w:r>
        <w:rPr>
          <w:i/>
          <w:iCs/>
        </w:rPr>
        <w:t>Respiratory care</w:t>
      </w:r>
      <w:r>
        <w:t>, </w:t>
      </w:r>
      <w:r>
        <w:rPr>
          <w:i/>
          <w:iCs/>
        </w:rPr>
        <w:t>57</w:t>
      </w:r>
      <w:r>
        <w:t>(3), 370-376.</w:t>
      </w:r>
    </w:p>
  </w:endnote>
  <w:endnote w:id="46">
    <w:p w14:paraId="41AB7ECD" w14:textId="77777777" w:rsidR="005842E4" w:rsidRDefault="005842E4" w:rsidP="00A51B54">
      <w:pPr>
        <w:pStyle w:val="EndnoteText"/>
        <w:spacing w:after="240"/>
        <w:jc w:val="both"/>
      </w:pPr>
      <w:r>
        <w:rPr>
          <w:rStyle w:val="EndnoteReference"/>
        </w:rPr>
        <w:endnoteRef/>
      </w:r>
      <w:r>
        <w:t xml:space="preserve"> Saudi Arabian Cultural Mission (Sacm.org). Status of Respiratory Care in Saudi Arabia. https://www.sacm.org/MedicalUnit/Introduction5.aspx.</w:t>
      </w:r>
    </w:p>
  </w:endnote>
  <w:endnote w:id="47">
    <w:p w14:paraId="6B2C5EFA" w14:textId="77777777" w:rsidR="005842E4" w:rsidRDefault="005842E4" w:rsidP="00A51B54">
      <w:pPr>
        <w:pStyle w:val="EndnoteText"/>
        <w:spacing w:after="240"/>
        <w:jc w:val="both"/>
        <w:rPr>
          <w:lang w:val="it-IT"/>
        </w:rPr>
      </w:pPr>
      <w:r>
        <w:rPr>
          <w:rStyle w:val="EndnoteReference"/>
        </w:rPr>
        <w:endnoteRef/>
      </w:r>
      <w:r>
        <w:rPr>
          <w:lang w:val="it-IT"/>
        </w:rPr>
        <w:t xml:space="preserve"> Alotaibi (2015) … </w:t>
      </w:r>
    </w:p>
  </w:endnote>
  <w:endnote w:id="48">
    <w:p w14:paraId="20449B3A" w14:textId="77777777" w:rsidR="005842E4" w:rsidRDefault="005842E4" w:rsidP="00A51B54">
      <w:pPr>
        <w:pStyle w:val="EndnoteText"/>
        <w:spacing w:after="240"/>
        <w:jc w:val="both"/>
        <w:rPr>
          <w:lang w:val="it-IT"/>
        </w:rPr>
      </w:pPr>
      <w:r>
        <w:rPr>
          <w:rStyle w:val="EndnoteReference"/>
        </w:rPr>
        <w:endnoteRef/>
      </w:r>
      <w:r>
        <w:rPr>
          <w:lang w:val="it-IT"/>
        </w:rPr>
        <w:t xml:space="preserve"> Data USA. Respiratory Therapists. https://datausa.io/profile/soc/respiratory-therapists.</w:t>
      </w:r>
    </w:p>
  </w:endnote>
  <w:endnote w:id="49">
    <w:p w14:paraId="0303C409" w14:textId="77777777" w:rsidR="005842E4" w:rsidRDefault="005842E4" w:rsidP="00A51B54">
      <w:pPr>
        <w:pStyle w:val="EndnoteText"/>
        <w:spacing w:after="240"/>
        <w:jc w:val="both"/>
        <w:rPr>
          <w:u w:val="single"/>
        </w:rPr>
      </w:pPr>
      <w:r>
        <w:rPr>
          <w:rStyle w:val="EndnoteReference"/>
        </w:rPr>
        <w:endnoteRef/>
      </w:r>
      <w:r>
        <w:t xml:space="preserve"> Ajao, A., Nystrom, S. V., Koonin, L. M., Patel, A., Howell, D. R., Baccam, P., ... &amp; Meltzer, M. I. (2015). Assessing the capacity of the US health care system to use additional mechanical ventilators during a large-scale public health emergency. </w:t>
      </w:r>
      <w:r>
        <w:rPr>
          <w:i/>
          <w:iCs/>
        </w:rPr>
        <w:t>Disaster medicine and public health preparedness</w:t>
      </w:r>
      <w:r>
        <w:t>, </w:t>
      </w:r>
      <w:r>
        <w:rPr>
          <w:i/>
          <w:iCs/>
        </w:rPr>
        <w:t>9</w:t>
      </w:r>
      <w:r>
        <w:t>(6), 634-641.</w:t>
      </w:r>
    </w:p>
  </w:endnote>
  <w:endnote w:id="50">
    <w:p w14:paraId="42843714" w14:textId="77777777" w:rsidR="005842E4" w:rsidRDefault="005842E4" w:rsidP="00A51B54">
      <w:pPr>
        <w:pStyle w:val="EndnoteText"/>
        <w:spacing w:after="240"/>
        <w:jc w:val="both"/>
        <w:rPr>
          <w:u w:val="single"/>
        </w:rPr>
      </w:pPr>
      <w:r>
        <w:rPr>
          <w:rStyle w:val="EndnoteReference"/>
        </w:rPr>
        <w:endnoteRef/>
      </w:r>
      <w:r>
        <w:t xml:space="preserve"> Alotaibi (2015) … </w:t>
      </w:r>
    </w:p>
  </w:endnote>
  <w:endnote w:id="51">
    <w:p w14:paraId="6541E1BE" w14:textId="77777777" w:rsidR="005842E4" w:rsidRDefault="005842E4" w:rsidP="00A51B54">
      <w:pPr>
        <w:pStyle w:val="EndnoteText"/>
        <w:spacing w:after="240"/>
        <w:jc w:val="both"/>
      </w:pPr>
      <w:r>
        <w:rPr>
          <w:rStyle w:val="EndnoteReference"/>
        </w:rPr>
        <w:endnoteRef/>
      </w:r>
      <w:r>
        <w:t xml:space="preserve"> Alotaibi, &amp; Al-Ahmari (2016) … </w:t>
      </w:r>
    </w:p>
  </w:endnote>
  <w:endnote w:id="52">
    <w:p w14:paraId="2B7E20F3" w14:textId="77777777" w:rsidR="005842E4" w:rsidRDefault="005842E4" w:rsidP="00A51B54">
      <w:pPr>
        <w:pStyle w:val="EndnoteText"/>
        <w:spacing w:after="240"/>
        <w:jc w:val="both"/>
      </w:pPr>
      <w:r>
        <w:rPr>
          <w:rStyle w:val="EndnoteReference"/>
        </w:rPr>
        <w:endnoteRef/>
      </w:r>
      <w:r>
        <w:t xml:space="preserve"> Alotaibi (2015) …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EEB61C" w14:textId="77777777" w:rsidR="00E90B67" w:rsidRDefault="00E90B67" w:rsidP="005842E4">
      <w:pPr>
        <w:spacing w:after="0" w:line="240" w:lineRule="auto"/>
      </w:pPr>
      <w:r>
        <w:separator/>
      </w:r>
    </w:p>
  </w:footnote>
  <w:footnote w:type="continuationSeparator" w:id="0">
    <w:p w14:paraId="7C72AB07" w14:textId="77777777" w:rsidR="00E90B67" w:rsidRDefault="00E90B67" w:rsidP="005842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9C5E97"/>
    <w:multiLevelType w:val="hybridMultilevel"/>
    <w:tmpl w:val="FCE8E4F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CB82783"/>
    <w:multiLevelType w:val="multilevel"/>
    <w:tmpl w:val="6E80A74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E4"/>
    <w:rsid w:val="00185758"/>
    <w:rsid w:val="00333BC2"/>
    <w:rsid w:val="003C0252"/>
    <w:rsid w:val="0055083B"/>
    <w:rsid w:val="005842E4"/>
    <w:rsid w:val="005B5D42"/>
    <w:rsid w:val="006E34BB"/>
    <w:rsid w:val="008A067E"/>
    <w:rsid w:val="008F5C5C"/>
    <w:rsid w:val="009B506F"/>
    <w:rsid w:val="00A51B54"/>
    <w:rsid w:val="00B15066"/>
    <w:rsid w:val="00B57098"/>
    <w:rsid w:val="00B75E73"/>
    <w:rsid w:val="00D324DD"/>
    <w:rsid w:val="00D7642F"/>
    <w:rsid w:val="00DF3325"/>
    <w:rsid w:val="00E90B67"/>
  </w:rsids>
  <m:mathPr>
    <m:mathFont m:val="Cambria Math"/>
    <m:brkBin m:val="before"/>
    <m:brkBinSub m:val="--"/>
    <m:smallFrac m:val="0"/>
    <m:dispDef/>
    <m:lMargin m:val="0"/>
    <m:rMargin m:val="0"/>
    <m:defJc m:val="centerGroup"/>
    <m:wrapIndent m:val="1440"/>
    <m:intLim m:val="subSup"/>
    <m:naryLim m:val="undOvr"/>
  </m:mathPr>
  <w:themeFontLang w:val="ar-S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6C5233"/>
  <w15:chartTrackingRefBased/>
  <w15:docId w15:val="{05293FA6-4ACF-1349-8A58-52914EFF1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ar-S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42E4"/>
    <w:pPr>
      <w:spacing w:after="160" w:line="256" w:lineRule="auto"/>
    </w:pPr>
    <w:rPr>
      <w:sz w:val="22"/>
      <w:szCs w:val="22"/>
      <w:lang w:val="en-US"/>
    </w:rPr>
  </w:style>
  <w:style w:type="paragraph" w:styleId="Heading1">
    <w:name w:val="heading 1"/>
    <w:basedOn w:val="Normal"/>
    <w:next w:val="Normal"/>
    <w:link w:val="Heading1Char"/>
    <w:uiPriority w:val="9"/>
    <w:qFormat/>
    <w:rsid w:val="005842E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5842E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842E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E4"/>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semiHidden/>
    <w:rsid w:val="005842E4"/>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semiHidden/>
    <w:rsid w:val="005842E4"/>
    <w:rPr>
      <w:rFonts w:asciiTheme="majorHAnsi" w:eastAsiaTheme="majorEastAsia" w:hAnsiTheme="majorHAnsi" w:cstheme="majorBidi"/>
      <w:color w:val="1F3763" w:themeColor="accent1" w:themeShade="7F"/>
      <w:lang w:val="en-US"/>
    </w:rPr>
  </w:style>
  <w:style w:type="character" w:styleId="Hyperlink">
    <w:name w:val="Hyperlink"/>
    <w:basedOn w:val="DefaultParagraphFont"/>
    <w:uiPriority w:val="99"/>
    <w:unhideWhenUsed/>
    <w:rsid w:val="005842E4"/>
    <w:rPr>
      <w:color w:val="0563C1" w:themeColor="hyperlink"/>
      <w:u w:val="single"/>
    </w:rPr>
  </w:style>
  <w:style w:type="character" w:styleId="FollowedHyperlink">
    <w:name w:val="FollowedHyperlink"/>
    <w:basedOn w:val="DefaultParagraphFont"/>
    <w:uiPriority w:val="99"/>
    <w:semiHidden/>
    <w:unhideWhenUsed/>
    <w:rsid w:val="005842E4"/>
    <w:rPr>
      <w:color w:val="954F72" w:themeColor="followedHyperlink"/>
      <w:u w:val="single"/>
    </w:rPr>
  </w:style>
  <w:style w:type="paragraph" w:customStyle="1" w:styleId="msonormal0">
    <w:name w:val="msonormal"/>
    <w:basedOn w:val="Normal"/>
    <w:rsid w:val="005842E4"/>
    <w:pPr>
      <w:spacing w:before="100" w:beforeAutospacing="1" w:after="100" w:afterAutospacing="1" w:line="240" w:lineRule="auto"/>
    </w:pPr>
    <w:rPr>
      <w:rFonts w:ascii="Times New Roman" w:eastAsia="Times New Roman" w:hAnsi="Times New Roman" w:cs="Times New Roman"/>
      <w:sz w:val="24"/>
      <w:szCs w:val="24"/>
      <w:lang w:val="ar-SA"/>
    </w:rPr>
  </w:style>
  <w:style w:type="paragraph" w:styleId="TOC1">
    <w:name w:val="toc 1"/>
    <w:basedOn w:val="Normal"/>
    <w:next w:val="Normal"/>
    <w:autoRedefine/>
    <w:uiPriority w:val="39"/>
    <w:semiHidden/>
    <w:unhideWhenUsed/>
    <w:rsid w:val="005842E4"/>
    <w:pPr>
      <w:spacing w:after="100"/>
    </w:pPr>
  </w:style>
  <w:style w:type="paragraph" w:styleId="TOC2">
    <w:name w:val="toc 2"/>
    <w:basedOn w:val="Normal"/>
    <w:next w:val="Normal"/>
    <w:autoRedefine/>
    <w:uiPriority w:val="39"/>
    <w:semiHidden/>
    <w:unhideWhenUsed/>
    <w:rsid w:val="005842E4"/>
    <w:pPr>
      <w:spacing w:after="100"/>
      <w:ind w:left="220"/>
    </w:pPr>
  </w:style>
  <w:style w:type="paragraph" w:styleId="Header">
    <w:name w:val="header"/>
    <w:basedOn w:val="Normal"/>
    <w:link w:val="HeaderChar"/>
    <w:uiPriority w:val="99"/>
    <w:unhideWhenUsed/>
    <w:rsid w:val="005842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42E4"/>
    <w:rPr>
      <w:sz w:val="22"/>
      <w:szCs w:val="22"/>
      <w:lang w:val="en-US"/>
    </w:rPr>
  </w:style>
  <w:style w:type="paragraph" w:styleId="Footer">
    <w:name w:val="footer"/>
    <w:basedOn w:val="Normal"/>
    <w:link w:val="FooterChar"/>
    <w:uiPriority w:val="99"/>
    <w:unhideWhenUsed/>
    <w:rsid w:val="005842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42E4"/>
    <w:rPr>
      <w:sz w:val="22"/>
      <w:szCs w:val="22"/>
      <w:lang w:val="en-US"/>
    </w:rPr>
  </w:style>
  <w:style w:type="paragraph" w:styleId="Caption">
    <w:name w:val="caption"/>
    <w:basedOn w:val="Normal"/>
    <w:next w:val="Normal"/>
    <w:uiPriority w:val="35"/>
    <w:semiHidden/>
    <w:unhideWhenUsed/>
    <w:qFormat/>
    <w:rsid w:val="005842E4"/>
    <w:pPr>
      <w:spacing w:after="200" w:line="240" w:lineRule="auto"/>
    </w:pPr>
    <w:rPr>
      <w:i/>
      <w:iCs/>
      <w:color w:val="44546A" w:themeColor="text2"/>
      <w:sz w:val="18"/>
      <w:szCs w:val="18"/>
    </w:rPr>
  </w:style>
  <w:style w:type="paragraph" w:styleId="EndnoteText">
    <w:name w:val="endnote text"/>
    <w:basedOn w:val="Normal"/>
    <w:link w:val="EndnoteTextChar"/>
    <w:uiPriority w:val="99"/>
    <w:semiHidden/>
    <w:unhideWhenUsed/>
    <w:rsid w:val="005842E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842E4"/>
    <w:rPr>
      <w:sz w:val="20"/>
      <w:szCs w:val="20"/>
      <w:lang w:val="en-US"/>
    </w:rPr>
  </w:style>
  <w:style w:type="paragraph" w:styleId="ListParagraph">
    <w:name w:val="List Paragraph"/>
    <w:basedOn w:val="Normal"/>
    <w:uiPriority w:val="34"/>
    <w:qFormat/>
    <w:rsid w:val="005842E4"/>
    <w:pPr>
      <w:ind w:left="720"/>
      <w:contextualSpacing/>
    </w:pPr>
  </w:style>
  <w:style w:type="paragraph" w:styleId="TOCHeading">
    <w:name w:val="TOC Heading"/>
    <w:basedOn w:val="Heading1"/>
    <w:next w:val="Normal"/>
    <w:uiPriority w:val="39"/>
    <w:semiHidden/>
    <w:unhideWhenUsed/>
    <w:qFormat/>
    <w:rsid w:val="005842E4"/>
    <w:pPr>
      <w:outlineLvl w:val="9"/>
    </w:pPr>
  </w:style>
  <w:style w:type="character" w:styleId="EndnoteReference">
    <w:name w:val="endnote reference"/>
    <w:basedOn w:val="DefaultParagraphFont"/>
    <w:uiPriority w:val="99"/>
    <w:semiHidden/>
    <w:unhideWhenUsed/>
    <w:rsid w:val="005842E4"/>
    <w:rPr>
      <w:vertAlign w:val="superscript"/>
    </w:rPr>
  </w:style>
  <w:style w:type="character" w:customStyle="1" w:styleId="UnresolvedMention1">
    <w:name w:val="Unresolved Mention1"/>
    <w:basedOn w:val="DefaultParagraphFont"/>
    <w:uiPriority w:val="99"/>
    <w:semiHidden/>
    <w:rsid w:val="005842E4"/>
    <w:rPr>
      <w:color w:val="605E5C"/>
      <w:shd w:val="clear" w:color="auto" w:fill="E1DFDD"/>
    </w:rPr>
  </w:style>
  <w:style w:type="character" w:customStyle="1" w:styleId="UnresolvedMention2">
    <w:name w:val="Unresolved Mention2"/>
    <w:basedOn w:val="DefaultParagraphFont"/>
    <w:uiPriority w:val="99"/>
    <w:rsid w:val="005842E4"/>
    <w:rPr>
      <w:color w:val="605E5C"/>
      <w:shd w:val="clear" w:color="auto" w:fill="E1DFDD"/>
    </w:rPr>
  </w:style>
  <w:style w:type="table" w:styleId="TableGrid">
    <w:name w:val="Table Grid"/>
    <w:basedOn w:val="TableNormal"/>
    <w:uiPriority w:val="39"/>
    <w:rsid w:val="005842E4"/>
    <w:rPr>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08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Alessarr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Guya\Desktop\KSA_Staffing_Plan.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uya\Desktop\KSA_Staffing_Plan.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RTs needed in MOH (12,831), non-MOH (3,689), and Private (5,146) Hospitals in KSA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462-C54A-B6F9-7D030AE3C7F7}"/>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F462-C54A-B6F9-7D030AE3C7F7}"/>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F462-C54A-B6F9-7D030AE3C7F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('KSA RTs'!$J$25,'KSA RTs'!$Q$25,'KSA RTs'!$X$25)</c:f>
              <c:numCache>
                <c:formatCode>General</c:formatCode>
                <c:ptCount val="3"/>
                <c:pt idx="0">
                  <c:v>12831</c:v>
                </c:pt>
                <c:pt idx="1">
                  <c:v>3689</c:v>
                </c:pt>
                <c:pt idx="2">
                  <c:v>5146</c:v>
                </c:pt>
              </c:numCache>
            </c:numRef>
          </c:val>
          <c:extLst>
            <c:ext xmlns:c16="http://schemas.microsoft.com/office/drawing/2014/chart" uri="{C3380CC4-5D6E-409C-BE32-E72D297353CC}">
              <c16:uniqueId val="{00000006-F462-C54A-B6F9-7D030AE3C7F7}"/>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Total RTs needed</a:t>
            </a:r>
            <a:r>
              <a:rPr lang="en-US" baseline="0"/>
              <a:t> in KSA</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v>RTs needed on general floor beds</c:v>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EA7-6240-B7FD-6722287EABA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EA7-6240-B7FD-6722287EABA3}"/>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val>
            <c:numRef>
              <c:f>'KSA RTs'!$AC$25:$AD$25</c:f>
              <c:numCache>
                <c:formatCode>General</c:formatCode>
                <c:ptCount val="2"/>
                <c:pt idx="0">
                  <c:v>14366</c:v>
                </c:pt>
                <c:pt idx="1">
                  <c:v>7300</c:v>
                </c:pt>
              </c:numCache>
            </c:numRef>
          </c:val>
          <c:extLst>
            <c:ext xmlns:c16="http://schemas.microsoft.com/office/drawing/2014/chart" uri="{C3380CC4-5D6E-409C-BE32-E72D297353CC}">
              <c16:uniqueId val="{00000004-8EA7-6240-B7FD-6722287EABA3}"/>
            </c:ext>
          </c:extLst>
        </c:ser>
        <c:dLbls>
          <c:dLblPos val="bestFit"/>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5767</Words>
  <Characters>32874</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Research Work</cp:lastModifiedBy>
  <cp:revision>10</cp:revision>
  <dcterms:created xsi:type="dcterms:W3CDTF">2020-07-08T02:56:00Z</dcterms:created>
  <dcterms:modified xsi:type="dcterms:W3CDTF">2020-12-31T18:00:00Z</dcterms:modified>
</cp:coreProperties>
</file>